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35E5" w14:textId="77777777" w:rsidR="007D6C2B" w:rsidRPr="00077F04" w:rsidRDefault="00DE02A1" w:rsidP="007D6C2B">
      <w:pPr>
        <w:rPr>
          <w:b/>
          <w:bCs/>
          <w:sz w:val="24"/>
          <w:szCs w:val="24"/>
        </w:rPr>
      </w:pPr>
      <w:r w:rsidRPr="00077F04">
        <w:rPr>
          <w:b/>
          <w:bCs/>
          <w:sz w:val="24"/>
          <w:szCs w:val="24"/>
        </w:rPr>
        <w:t xml:space="preserve">Die Logik der </w:t>
      </w:r>
      <w:proofErr w:type="spellStart"/>
      <w:r w:rsidRPr="00077F04">
        <w:rPr>
          <w:b/>
          <w:bCs/>
          <w:i/>
          <w:iCs/>
          <w:sz w:val="24"/>
          <w:szCs w:val="24"/>
        </w:rPr>
        <w:t>Urtra</w:t>
      </w:r>
      <w:proofErr w:type="spellEnd"/>
      <w:r w:rsidRPr="00077F04">
        <w:rPr>
          <w:b/>
          <w:bCs/>
          <w:i/>
          <w:iCs/>
          <w:sz w:val="24"/>
          <w:szCs w:val="24"/>
        </w:rPr>
        <w:t>-Society</w:t>
      </w:r>
      <w:r w:rsidRPr="00077F04">
        <w:rPr>
          <w:b/>
          <w:bCs/>
          <w:sz w:val="24"/>
          <w:szCs w:val="24"/>
        </w:rPr>
        <w:t xml:space="preserve"> und die Logik des</w:t>
      </w:r>
      <w:r w:rsidRPr="00077F0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77F04">
        <w:rPr>
          <w:b/>
          <w:bCs/>
          <w:i/>
          <w:iCs/>
          <w:sz w:val="24"/>
          <w:szCs w:val="24"/>
        </w:rPr>
        <w:t>Zuhause</w:t>
      </w:r>
      <w:r w:rsidRPr="00077F04">
        <w:rPr>
          <w:b/>
          <w:bCs/>
          <w:sz w:val="24"/>
          <w:szCs w:val="24"/>
        </w:rPr>
        <w:t>s</w:t>
      </w:r>
      <w:proofErr w:type="spellEnd"/>
    </w:p>
    <w:p w14:paraId="4D7A759F" w14:textId="77777777" w:rsidR="00DE02A1" w:rsidRDefault="00DE02A1" w:rsidP="007D6C2B">
      <w:pPr>
        <w:rPr>
          <w:b/>
          <w:bCs/>
        </w:rPr>
      </w:pPr>
    </w:p>
    <w:p w14:paraId="6DFF3006" w14:textId="77777777" w:rsidR="00077F04" w:rsidRDefault="00077F04" w:rsidP="00077F04">
      <w:pPr>
        <w:jc w:val="center"/>
        <w:rPr>
          <w:b/>
          <w:bCs/>
        </w:rPr>
      </w:pPr>
      <w:r>
        <w:rPr>
          <w:rFonts w:hint="eastAsia"/>
          <w:b/>
          <w:bCs/>
        </w:rPr>
        <w:t>Junko Hirasawa</w:t>
      </w:r>
    </w:p>
    <w:p w14:paraId="71E23928" w14:textId="77777777" w:rsidR="00077F04" w:rsidRDefault="00077F04" w:rsidP="00077F04">
      <w:pPr>
        <w:jc w:val="center"/>
        <w:rPr>
          <w:b/>
          <w:bCs/>
        </w:rPr>
      </w:pPr>
      <w:r>
        <w:rPr>
          <w:rFonts w:hint="eastAsia"/>
          <w:b/>
          <w:bCs/>
        </w:rPr>
        <w:t>Kawaguchi Junior College</w:t>
      </w:r>
    </w:p>
    <w:p w14:paraId="0EB7B1CA" w14:textId="77777777" w:rsidR="00077F04" w:rsidRDefault="00077F04" w:rsidP="00077F04">
      <w:pPr>
        <w:jc w:val="center"/>
        <w:rPr>
          <w:b/>
          <w:bCs/>
        </w:rPr>
      </w:pPr>
    </w:p>
    <w:p w14:paraId="382C4868" w14:textId="77777777" w:rsidR="00077F04" w:rsidRPr="00DE02A1" w:rsidRDefault="00077F04" w:rsidP="00077F04">
      <w:pPr>
        <w:jc w:val="center"/>
        <w:rPr>
          <w:b/>
          <w:bCs/>
        </w:rPr>
      </w:pPr>
    </w:p>
    <w:p w14:paraId="15E29633" w14:textId="77777777" w:rsidR="007D6C2B" w:rsidRPr="007D6C2B" w:rsidRDefault="007D6C2B" w:rsidP="007D6C2B">
      <w:r w:rsidRPr="007D6C2B">
        <w:rPr>
          <w:b/>
          <w:bCs/>
        </w:rPr>
        <w:t xml:space="preserve">1. </w:t>
      </w:r>
      <w:proofErr w:type="spellStart"/>
      <w:r w:rsidRPr="007D6C2B">
        <w:rPr>
          <w:b/>
          <w:bCs/>
        </w:rPr>
        <w:t>Begrüßung</w:t>
      </w:r>
      <w:proofErr w:type="spellEnd"/>
      <w:r w:rsidRPr="007D6C2B">
        <w:rPr>
          <w:b/>
          <w:bCs/>
        </w:rPr>
        <w:t xml:space="preserve">: </w:t>
      </w:r>
      <w:proofErr w:type="spellStart"/>
      <w:r w:rsidRPr="007D6C2B">
        <w:rPr>
          <w:b/>
          <w:bCs/>
        </w:rPr>
        <w:t>Glückwünsche</w:t>
      </w:r>
      <w:proofErr w:type="spellEnd"/>
      <w:r w:rsidRPr="007D6C2B">
        <w:rPr>
          <w:b/>
          <w:bCs/>
        </w:rPr>
        <w:t xml:space="preserve">, Dank, </w:t>
      </w:r>
      <w:proofErr w:type="spellStart"/>
      <w:r w:rsidRPr="007D6C2B">
        <w:rPr>
          <w:b/>
          <w:bCs/>
        </w:rPr>
        <w:t>Selbstvorstellung</w:t>
      </w:r>
      <w:proofErr w:type="spellEnd"/>
    </w:p>
    <w:p w14:paraId="30A8E2E4" w14:textId="77777777" w:rsidR="007D6C2B" w:rsidRPr="007D6C2B" w:rsidRDefault="007D6C2B" w:rsidP="007D6C2B">
      <w:r w:rsidRPr="007D6C2B">
        <w:t xml:space="preserve">Professor </w:t>
      </w:r>
      <w:r w:rsidR="00DE02A1">
        <w:rPr>
          <w:rFonts w:hint="eastAsia"/>
        </w:rPr>
        <w:t xml:space="preserve">Dr. </w:t>
      </w:r>
      <w:r w:rsidRPr="007D6C2B">
        <w:t>P</w:t>
      </w:r>
      <w:r w:rsidR="00DE02A1">
        <w:rPr>
          <w:rFonts w:hint="eastAsia"/>
        </w:rPr>
        <w:t>ark</w:t>
      </w:r>
      <w:r w:rsidRPr="007D6C2B">
        <w:t xml:space="preserve">, </w:t>
      </w:r>
      <w:proofErr w:type="spellStart"/>
      <w:r w:rsidRPr="007D6C2B">
        <w:t>herzlichen</w:t>
      </w:r>
      <w:proofErr w:type="spellEnd"/>
      <w:r w:rsidRPr="007D6C2B">
        <w:t xml:space="preserve"> </w:t>
      </w:r>
      <w:proofErr w:type="spellStart"/>
      <w:r w:rsidRPr="007D6C2B">
        <w:t>Glückwunsch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Ihrem</w:t>
      </w:r>
      <w:proofErr w:type="spellEnd"/>
      <w:r w:rsidRPr="007D6C2B">
        <w:t xml:space="preserve"> 90. </w:t>
      </w:r>
      <w:proofErr w:type="spellStart"/>
      <w:r w:rsidRPr="007D6C2B">
        <w:t>Geburtstag</w:t>
      </w:r>
      <w:proofErr w:type="spellEnd"/>
      <w:r w:rsidRPr="007D6C2B">
        <w:t xml:space="preserve">. Ich </w:t>
      </w:r>
      <w:proofErr w:type="spellStart"/>
      <w:r w:rsidRPr="007D6C2B">
        <w:t>habe</w:t>
      </w:r>
      <w:proofErr w:type="spellEnd"/>
      <w:r w:rsidRPr="007D6C2B">
        <w:t xml:space="preserve"> Sie </w:t>
      </w:r>
      <w:proofErr w:type="spellStart"/>
      <w:r w:rsidRPr="007D6C2B">
        <w:t>vor</w:t>
      </w:r>
      <w:proofErr w:type="spellEnd"/>
      <w:r w:rsidRPr="007D6C2B">
        <w:t xml:space="preserve"> </w:t>
      </w:r>
      <w:proofErr w:type="spellStart"/>
      <w:r w:rsidRPr="007D6C2B">
        <w:t>über</w:t>
      </w:r>
      <w:proofErr w:type="spellEnd"/>
      <w:r w:rsidRPr="007D6C2B">
        <w:t xml:space="preserve"> 25 Jahren </w:t>
      </w:r>
      <w:proofErr w:type="spellStart"/>
      <w:r w:rsidRPr="007D6C2B">
        <w:t>kennengelernt</w:t>
      </w:r>
      <w:proofErr w:type="spellEnd"/>
      <w:r w:rsidRPr="007D6C2B">
        <w:t xml:space="preserve">. Sie </w:t>
      </w:r>
      <w:proofErr w:type="spellStart"/>
      <w:r w:rsidRPr="007D6C2B">
        <w:t>haben</w:t>
      </w:r>
      <w:proofErr w:type="spellEnd"/>
      <w:r w:rsidRPr="007D6C2B">
        <w:t xml:space="preserve"> mir immer </w:t>
      </w:r>
      <w:proofErr w:type="spellStart"/>
      <w:r w:rsidRPr="007D6C2B">
        <w:t>wieder</w:t>
      </w:r>
      <w:proofErr w:type="spellEnd"/>
      <w:r w:rsidRPr="007D6C2B">
        <w:t xml:space="preserve"> </w:t>
      </w:r>
      <w:proofErr w:type="spellStart"/>
      <w:r w:rsidRPr="007D6C2B">
        <w:t>Gelegenheiten</w:t>
      </w:r>
      <w:proofErr w:type="spellEnd"/>
      <w:r w:rsidRPr="007D6C2B">
        <w:t xml:space="preserve"> </w:t>
      </w:r>
      <w:proofErr w:type="spellStart"/>
      <w:r w:rsidRPr="007D6C2B">
        <w:t>zum</w:t>
      </w:r>
      <w:proofErr w:type="spellEnd"/>
      <w:r w:rsidRPr="007D6C2B">
        <w:t xml:space="preserve"> </w:t>
      </w:r>
      <w:proofErr w:type="spellStart"/>
      <w:r w:rsidRPr="007D6C2B">
        <w:t>Lernen</w:t>
      </w:r>
      <w:proofErr w:type="spellEnd"/>
      <w:r w:rsidRPr="007D6C2B">
        <w:t xml:space="preserve"> </w:t>
      </w:r>
      <w:proofErr w:type="spellStart"/>
      <w:r w:rsidRPr="007D6C2B">
        <w:t>geboten</w:t>
      </w:r>
      <w:proofErr w:type="spellEnd"/>
      <w:r w:rsidRPr="007D6C2B">
        <w:t xml:space="preserve">. </w:t>
      </w:r>
      <w:proofErr w:type="spellStart"/>
      <w:r w:rsidRPr="007D6C2B">
        <w:t>Dafür</w:t>
      </w:r>
      <w:proofErr w:type="spellEnd"/>
      <w:r w:rsidRPr="007D6C2B">
        <w:t xml:space="preserve"> bin ich Ihnen </w:t>
      </w:r>
      <w:proofErr w:type="spellStart"/>
      <w:r w:rsidRPr="007D6C2B">
        <w:t>zutiefst</w:t>
      </w:r>
      <w:proofErr w:type="spellEnd"/>
      <w:r w:rsidRPr="007D6C2B">
        <w:t xml:space="preserve"> </w:t>
      </w:r>
      <w:proofErr w:type="spellStart"/>
      <w:r w:rsidRPr="007D6C2B">
        <w:t>dankbar</w:t>
      </w:r>
      <w:proofErr w:type="spellEnd"/>
      <w:r w:rsidRPr="007D6C2B">
        <w:t>.</w:t>
      </w:r>
    </w:p>
    <w:p w14:paraId="5A151FCA" w14:textId="77777777" w:rsidR="007D6C2B" w:rsidRPr="007D6C2B" w:rsidRDefault="007D6C2B" w:rsidP="007D6C2B">
      <w:r w:rsidRPr="007D6C2B">
        <w:t xml:space="preserve">Ich </w:t>
      </w:r>
      <w:proofErr w:type="spellStart"/>
      <w:r w:rsidRPr="007D6C2B">
        <w:t>glaube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in Japan </w:t>
      </w:r>
      <w:proofErr w:type="spellStart"/>
      <w:r w:rsidRPr="007D6C2B">
        <w:t>viele</w:t>
      </w:r>
      <w:proofErr w:type="spellEnd"/>
      <w:r w:rsidRPr="007D6C2B">
        <w:t xml:space="preserve"> </w:t>
      </w:r>
      <w:proofErr w:type="spellStart"/>
      <w:r w:rsidRPr="007D6C2B">
        <w:t>Universitätsprofessoren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ihrer</w:t>
      </w:r>
      <w:proofErr w:type="spellEnd"/>
      <w:r w:rsidRPr="007D6C2B">
        <w:t xml:space="preserve"> </w:t>
      </w:r>
      <w:proofErr w:type="spellStart"/>
      <w:r w:rsidRPr="007D6C2B">
        <w:t>Pensionierung</w:t>
      </w:r>
      <w:proofErr w:type="spellEnd"/>
      <w:r w:rsidRPr="007D6C2B">
        <w:t xml:space="preserve"> </w:t>
      </w:r>
      <w:proofErr w:type="spellStart"/>
      <w:r w:rsidRPr="007D6C2B">
        <w:t>ihre</w:t>
      </w:r>
      <w:proofErr w:type="spellEnd"/>
      <w:r w:rsidRPr="007D6C2B">
        <w:t xml:space="preserve"> </w:t>
      </w:r>
      <w:proofErr w:type="spellStart"/>
      <w:r w:rsidRPr="007D6C2B">
        <w:t>Forschungstätigkeit</w:t>
      </w:r>
      <w:proofErr w:type="spellEnd"/>
      <w:r w:rsidRPr="007D6C2B">
        <w:t xml:space="preserve"> </w:t>
      </w:r>
      <w:proofErr w:type="spellStart"/>
      <w:r w:rsidRPr="007D6C2B">
        <w:t>einstellen</w:t>
      </w:r>
      <w:proofErr w:type="spellEnd"/>
      <w:r w:rsidRPr="007D6C2B">
        <w:t xml:space="preserve">. Ich </w:t>
      </w:r>
      <w:proofErr w:type="spellStart"/>
      <w:r w:rsidRPr="007D6C2B">
        <w:t>habe</w:t>
      </w:r>
      <w:proofErr w:type="spellEnd"/>
      <w:r w:rsidRPr="007D6C2B">
        <w:t xml:space="preserve"> </w:t>
      </w:r>
      <w:proofErr w:type="spellStart"/>
      <w:r w:rsidRPr="007D6C2B">
        <w:t>noch</w:t>
      </w:r>
      <w:proofErr w:type="spellEnd"/>
      <w:r w:rsidRPr="007D6C2B">
        <w:t xml:space="preserve"> </w:t>
      </w:r>
      <w:proofErr w:type="spellStart"/>
      <w:r w:rsidRPr="007D6C2B">
        <w:t>nie</w:t>
      </w:r>
      <w:proofErr w:type="spellEnd"/>
      <w:r w:rsidRPr="007D6C2B">
        <w:t xml:space="preserve"> </w:t>
      </w:r>
      <w:proofErr w:type="spellStart"/>
      <w:r w:rsidRPr="007D6C2B">
        <w:t>einen</w:t>
      </w:r>
      <w:proofErr w:type="spellEnd"/>
      <w:r w:rsidRPr="007D6C2B">
        <w:t xml:space="preserve"> Professor </w:t>
      </w:r>
      <w:proofErr w:type="spellStart"/>
      <w:r w:rsidRPr="007D6C2B">
        <w:t>gesehen</w:t>
      </w:r>
      <w:proofErr w:type="spellEnd"/>
      <w:r w:rsidRPr="007D6C2B">
        <w:t xml:space="preserve">, der </w:t>
      </w:r>
      <w:proofErr w:type="spellStart"/>
      <w:r w:rsidRPr="007D6C2B">
        <w:t>zehn</w:t>
      </w:r>
      <w:proofErr w:type="spellEnd"/>
      <w:r w:rsidRPr="007D6C2B">
        <w:t xml:space="preserve"> </w:t>
      </w:r>
      <w:proofErr w:type="spellStart"/>
      <w:r w:rsidRPr="007D6C2B">
        <w:t>oder</w:t>
      </w:r>
      <w:proofErr w:type="spellEnd"/>
      <w:r w:rsidRPr="007D6C2B">
        <w:t xml:space="preserve"> </w:t>
      </w:r>
      <w:proofErr w:type="spellStart"/>
      <w:r w:rsidRPr="007D6C2B">
        <w:t>zwanzig</w:t>
      </w:r>
      <w:proofErr w:type="spellEnd"/>
      <w:r w:rsidRPr="007D6C2B">
        <w:t xml:space="preserve"> Jahre </w:t>
      </w:r>
      <w:proofErr w:type="spellStart"/>
      <w:r w:rsidRPr="007D6C2B">
        <w:t>nach</w:t>
      </w:r>
      <w:proofErr w:type="spellEnd"/>
      <w:r w:rsidRPr="007D6C2B">
        <w:t xml:space="preserve"> seiner </w:t>
      </w:r>
      <w:proofErr w:type="spellStart"/>
      <w:r w:rsidRPr="007D6C2B">
        <w:t>Pensionierung</w:t>
      </w:r>
      <w:proofErr w:type="spellEnd"/>
      <w:r w:rsidRPr="007D6C2B">
        <w:t xml:space="preserve"> von der Universität </w:t>
      </w:r>
      <w:proofErr w:type="spellStart"/>
      <w:r w:rsidRPr="007D6C2B">
        <w:t>zusammen</w:t>
      </w:r>
      <w:proofErr w:type="spellEnd"/>
      <w:r w:rsidRPr="007D6C2B">
        <w:t xml:space="preserve"> </w:t>
      </w:r>
      <w:proofErr w:type="spellStart"/>
      <w:r w:rsidRPr="007D6C2B">
        <w:t>mit</w:t>
      </w:r>
      <w:proofErr w:type="spellEnd"/>
      <w:r w:rsidRPr="007D6C2B">
        <w:t xml:space="preserve"> seiner </w:t>
      </w:r>
      <w:proofErr w:type="spellStart"/>
      <w:r w:rsidRPr="007D6C2B">
        <w:t>Ehefrau</w:t>
      </w:r>
      <w:proofErr w:type="spellEnd"/>
      <w:r w:rsidRPr="007D6C2B">
        <w:t xml:space="preserve">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Forschungsgruppe</w:t>
      </w:r>
      <w:proofErr w:type="spellEnd"/>
      <w:r w:rsidRPr="007D6C2B">
        <w:t xml:space="preserve"> </w:t>
      </w:r>
      <w:proofErr w:type="spellStart"/>
      <w:r w:rsidRPr="007D6C2B">
        <w:t>organisiert</w:t>
      </w:r>
      <w:proofErr w:type="spellEnd"/>
      <w:r w:rsidRPr="007D6C2B">
        <w:t xml:space="preserve"> und </w:t>
      </w:r>
      <w:proofErr w:type="spellStart"/>
      <w:r w:rsidRPr="007D6C2B">
        <w:t>leitet</w:t>
      </w:r>
      <w:proofErr w:type="spellEnd"/>
      <w:r w:rsidRPr="007D6C2B">
        <w:t xml:space="preserve">. Ich war </w:t>
      </w:r>
      <w:proofErr w:type="spellStart"/>
      <w:r w:rsidRPr="007D6C2B">
        <w:t>sehr</w:t>
      </w:r>
      <w:proofErr w:type="spellEnd"/>
      <w:r w:rsidRPr="007D6C2B">
        <w:t xml:space="preserve"> </w:t>
      </w:r>
      <w:proofErr w:type="spellStart"/>
      <w:r w:rsidRPr="007D6C2B">
        <w:t>gespannt</w:t>
      </w:r>
      <w:proofErr w:type="spellEnd"/>
      <w:r w:rsidRPr="007D6C2B">
        <w:t xml:space="preserve"> </w:t>
      </w:r>
      <w:proofErr w:type="spellStart"/>
      <w:r w:rsidRPr="007D6C2B">
        <w:t>darauf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sehen</w:t>
      </w:r>
      <w:proofErr w:type="spellEnd"/>
      <w:r w:rsidRPr="007D6C2B">
        <w:t xml:space="preserve">, </w:t>
      </w:r>
      <w:proofErr w:type="spellStart"/>
      <w:r w:rsidRPr="007D6C2B">
        <w:t>wie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solches</w:t>
      </w:r>
      <w:proofErr w:type="spellEnd"/>
      <w:r w:rsidRPr="007D6C2B">
        <w:t xml:space="preserve"> Paar </w:t>
      </w:r>
      <w:proofErr w:type="spellStart"/>
      <w:r w:rsidRPr="007D6C2B">
        <w:t>tatsächlich</w:t>
      </w:r>
      <w:proofErr w:type="spellEnd"/>
      <w:r w:rsidRPr="007D6C2B">
        <w:t xml:space="preserve">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Forschungsgruppe</w:t>
      </w:r>
      <w:proofErr w:type="spellEnd"/>
      <w:r w:rsidRPr="007D6C2B">
        <w:t xml:space="preserve"> </w:t>
      </w:r>
      <w:proofErr w:type="spellStart"/>
      <w:r w:rsidRPr="007D6C2B">
        <w:t>leitet</w:t>
      </w:r>
      <w:proofErr w:type="spellEnd"/>
      <w:r w:rsidRPr="007D6C2B">
        <w:t xml:space="preserve">. Ich </w:t>
      </w:r>
      <w:proofErr w:type="spellStart"/>
      <w:r w:rsidRPr="007D6C2B">
        <w:t>würde</w:t>
      </w:r>
      <w:proofErr w:type="spellEnd"/>
      <w:r w:rsidRPr="007D6C2B">
        <w:t xml:space="preserve"> das gerne </w:t>
      </w:r>
      <w:proofErr w:type="spellStart"/>
      <w:r w:rsidRPr="007D6C2B">
        <w:t>eines</w:t>
      </w:r>
      <w:proofErr w:type="spellEnd"/>
      <w:r w:rsidRPr="007D6C2B">
        <w:t xml:space="preserve"> Tages </w:t>
      </w:r>
      <w:proofErr w:type="spellStart"/>
      <w:r w:rsidRPr="007D6C2B">
        <w:t>nachahmen</w:t>
      </w:r>
      <w:proofErr w:type="spellEnd"/>
      <w:r w:rsidRPr="007D6C2B">
        <w:t xml:space="preserve">, </w:t>
      </w:r>
      <w:proofErr w:type="spellStart"/>
      <w:r w:rsidRPr="007D6C2B">
        <w:t>wenn</w:t>
      </w:r>
      <w:proofErr w:type="spellEnd"/>
      <w:r w:rsidRPr="007D6C2B">
        <w:t xml:space="preserve"> </w:t>
      </w:r>
      <w:proofErr w:type="spellStart"/>
      <w:r w:rsidRPr="007D6C2B">
        <w:t>möglich</w:t>
      </w:r>
      <w:proofErr w:type="spellEnd"/>
      <w:r w:rsidRPr="007D6C2B">
        <w:t xml:space="preserve">. Ich </w:t>
      </w:r>
      <w:proofErr w:type="spellStart"/>
      <w:r w:rsidRPr="007D6C2B">
        <w:t>möchte</w:t>
      </w:r>
      <w:proofErr w:type="spellEnd"/>
      <w:r w:rsidRPr="007D6C2B">
        <w:t xml:space="preserve"> die </w:t>
      </w:r>
      <w:proofErr w:type="spellStart"/>
      <w:r w:rsidRPr="007D6C2B">
        <w:t>Freundlichkeit</w:t>
      </w:r>
      <w:proofErr w:type="spellEnd"/>
      <w:r w:rsidRPr="007D6C2B">
        <w:t xml:space="preserve"> an die </w:t>
      </w:r>
      <w:proofErr w:type="spellStart"/>
      <w:r w:rsidRPr="007D6C2B">
        <w:t>nächste</w:t>
      </w:r>
      <w:proofErr w:type="spellEnd"/>
      <w:r w:rsidRPr="007D6C2B">
        <w:t xml:space="preserve"> Generation </w:t>
      </w:r>
      <w:proofErr w:type="spellStart"/>
      <w:r w:rsidRPr="007D6C2B">
        <w:t>weitergeben</w:t>
      </w:r>
      <w:proofErr w:type="spellEnd"/>
      <w:r w:rsidRPr="007D6C2B">
        <w:t xml:space="preserve"> </w:t>
      </w:r>
      <w:proofErr w:type="spellStart"/>
      <w:r w:rsidRPr="007D6C2B">
        <w:t>können</w:t>
      </w:r>
      <w:proofErr w:type="spellEnd"/>
      <w:r w:rsidRPr="007D6C2B">
        <w:t xml:space="preserve">. Das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meine</w:t>
      </w:r>
      <w:proofErr w:type="spellEnd"/>
      <w:r w:rsidRPr="007D6C2B">
        <w:t xml:space="preserve"> Motivation für die </w:t>
      </w:r>
      <w:proofErr w:type="spellStart"/>
      <w:r w:rsidRPr="007D6C2B">
        <w:t>Teilnahme</w:t>
      </w:r>
      <w:proofErr w:type="spellEnd"/>
      <w:r w:rsidRPr="007D6C2B">
        <w:t xml:space="preserve">. Ich </w:t>
      </w:r>
      <w:proofErr w:type="spellStart"/>
      <w:r w:rsidRPr="007D6C2B">
        <w:t>entschuldige</w:t>
      </w:r>
      <w:proofErr w:type="spellEnd"/>
      <w:r w:rsidRPr="007D6C2B">
        <w:t xml:space="preserve"> </w:t>
      </w:r>
      <w:proofErr w:type="spellStart"/>
      <w:r w:rsidRPr="007D6C2B">
        <w:t>mich</w:t>
      </w:r>
      <w:proofErr w:type="spellEnd"/>
      <w:r w:rsidRPr="007D6C2B">
        <w:t xml:space="preserve"> </w:t>
      </w:r>
      <w:proofErr w:type="spellStart"/>
      <w:r w:rsidRPr="007D6C2B">
        <w:t>dafür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ich so </w:t>
      </w:r>
      <w:proofErr w:type="spellStart"/>
      <w:r w:rsidRPr="007D6C2B">
        <w:t>egoistisch</w:t>
      </w:r>
      <w:proofErr w:type="spellEnd"/>
      <w:r w:rsidRPr="007D6C2B">
        <w:t xml:space="preserve"> bin, </w:t>
      </w:r>
      <w:proofErr w:type="spellStart"/>
      <w:r w:rsidRPr="007D6C2B">
        <w:t>zumal</w:t>
      </w:r>
      <w:proofErr w:type="spellEnd"/>
      <w:r w:rsidRPr="007D6C2B">
        <w:t xml:space="preserve"> ich </w:t>
      </w:r>
      <w:proofErr w:type="spellStart"/>
      <w:r w:rsidRPr="007D6C2B">
        <w:t>kein</w:t>
      </w:r>
      <w:proofErr w:type="spellEnd"/>
      <w:r w:rsidRPr="007D6C2B">
        <w:t xml:space="preserve"> Deutsch </w:t>
      </w:r>
      <w:proofErr w:type="spellStart"/>
      <w:r w:rsidRPr="007D6C2B">
        <w:t>spreche</w:t>
      </w:r>
      <w:proofErr w:type="spellEnd"/>
      <w:r w:rsidRPr="007D6C2B">
        <w:t xml:space="preserve">. Bitte </w:t>
      </w:r>
      <w:proofErr w:type="spellStart"/>
      <w:r w:rsidRPr="007D6C2B">
        <w:t>überlassen</w:t>
      </w:r>
      <w:proofErr w:type="spellEnd"/>
      <w:r w:rsidRPr="007D6C2B">
        <w:t xml:space="preserve"> Sie mir das </w:t>
      </w:r>
      <w:proofErr w:type="spellStart"/>
      <w:r w:rsidRPr="007D6C2B">
        <w:t>Aufräumen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der </w:t>
      </w:r>
      <w:proofErr w:type="spellStart"/>
      <w:r w:rsidRPr="007D6C2B">
        <w:t>Forschungsgruppe</w:t>
      </w:r>
      <w:proofErr w:type="spellEnd"/>
      <w:r w:rsidRPr="007D6C2B">
        <w:t>.</w:t>
      </w:r>
    </w:p>
    <w:p w14:paraId="777175DA" w14:textId="77777777" w:rsidR="007D6C2B" w:rsidRPr="007D6C2B" w:rsidRDefault="007D6C2B" w:rsidP="007D6C2B">
      <w:r w:rsidRPr="007D6C2B">
        <w:t xml:space="preserve">　</w:t>
      </w:r>
      <w:r w:rsidRPr="007D6C2B">
        <w:t xml:space="preserve">Als ich Student an der </w:t>
      </w:r>
      <w:proofErr w:type="spellStart"/>
      <w:r w:rsidRPr="007D6C2B">
        <w:t>Fakultät</w:t>
      </w:r>
      <w:proofErr w:type="spellEnd"/>
      <w:r w:rsidRPr="007D6C2B">
        <w:t xml:space="preserve"> für </w:t>
      </w:r>
      <w:proofErr w:type="spellStart"/>
      <w:r w:rsidRPr="007D6C2B">
        <w:t>Soziologie</w:t>
      </w:r>
      <w:proofErr w:type="spellEnd"/>
      <w:r w:rsidRPr="007D6C2B">
        <w:t xml:space="preserve"> war, </w:t>
      </w:r>
      <w:proofErr w:type="spellStart"/>
      <w:r w:rsidRPr="007D6C2B">
        <w:t>belegte</w:t>
      </w:r>
      <w:proofErr w:type="spellEnd"/>
      <w:r w:rsidRPr="007D6C2B">
        <w:t xml:space="preserve"> ich </w:t>
      </w:r>
      <w:proofErr w:type="spellStart"/>
      <w:r w:rsidRPr="007D6C2B">
        <w:t>eher</w:t>
      </w:r>
      <w:proofErr w:type="spellEnd"/>
      <w:r w:rsidRPr="007D6C2B">
        <w:t xml:space="preserve"> </w:t>
      </w:r>
      <w:proofErr w:type="spellStart"/>
      <w:r w:rsidRPr="007D6C2B">
        <w:t>zufällig</w:t>
      </w:r>
      <w:proofErr w:type="spellEnd"/>
      <w:r w:rsidRPr="007D6C2B">
        <w:t xml:space="preserve"> </w:t>
      </w:r>
      <w:proofErr w:type="spellStart"/>
      <w:r w:rsidRPr="007D6C2B">
        <w:t>einen</w:t>
      </w:r>
      <w:proofErr w:type="spellEnd"/>
      <w:r w:rsidRPr="007D6C2B">
        <w:t xml:space="preserve"> Kurs in </w:t>
      </w:r>
      <w:proofErr w:type="spellStart"/>
      <w:r w:rsidRPr="007D6C2B">
        <w:t>Arbeitsrecht</w:t>
      </w:r>
      <w:proofErr w:type="spellEnd"/>
      <w:r w:rsidRPr="007D6C2B">
        <w:t xml:space="preserve">. </w:t>
      </w:r>
      <w:proofErr w:type="spellStart"/>
      <w:r w:rsidRPr="007D6C2B">
        <w:t>Etwas</w:t>
      </w:r>
      <w:proofErr w:type="spellEnd"/>
      <w:r w:rsidRPr="007D6C2B">
        <w:t xml:space="preserve">, das mir in </w:t>
      </w:r>
      <w:proofErr w:type="spellStart"/>
      <w:r w:rsidRPr="007D6C2B">
        <w:t>diesem</w:t>
      </w:r>
      <w:proofErr w:type="spellEnd"/>
      <w:r w:rsidRPr="007D6C2B">
        <w:t xml:space="preserve"> Kurs </w:t>
      </w:r>
      <w:proofErr w:type="spellStart"/>
      <w:r w:rsidRPr="007D6C2B">
        <w:t>auffiel</w:t>
      </w:r>
      <w:proofErr w:type="spellEnd"/>
      <w:r w:rsidRPr="007D6C2B">
        <w:t xml:space="preserve">,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meinem</w:t>
      </w:r>
      <w:proofErr w:type="spellEnd"/>
      <w:r w:rsidRPr="007D6C2B">
        <w:t xml:space="preserve"> </w:t>
      </w:r>
      <w:proofErr w:type="spellStart"/>
      <w:r w:rsidRPr="007D6C2B">
        <w:t>Forschungsthema</w:t>
      </w:r>
      <w:proofErr w:type="spellEnd"/>
      <w:r w:rsidRPr="007D6C2B">
        <w:t xml:space="preserve">. Ich </w:t>
      </w:r>
      <w:proofErr w:type="spellStart"/>
      <w:r w:rsidRPr="007D6C2B">
        <w:t>erinnere</w:t>
      </w:r>
      <w:proofErr w:type="spellEnd"/>
      <w:r w:rsidRPr="007D6C2B">
        <w:t xml:space="preserve"> </w:t>
      </w:r>
      <w:proofErr w:type="spellStart"/>
      <w:r w:rsidRPr="007D6C2B">
        <w:t>mich</w:t>
      </w:r>
      <w:proofErr w:type="spellEnd"/>
      <w:r w:rsidRPr="007D6C2B">
        <w:t xml:space="preserve"> </w:t>
      </w:r>
      <w:proofErr w:type="spellStart"/>
      <w:r w:rsidRPr="007D6C2B">
        <w:t>überhaupt</w:t>
      </w:r>
      <w:proofErr w:type="spellEnd"/>
      <w:r w:rsidRPr="007D6C2B">
        <w:t xml:space="preserve"> nicht </w:t>
      </w:r>
      <w:proofErr w:type="spellStart"/>
      <w:r w:rsidRPr="007D6C2B">
        <w:t>mehr</w:t>
      </w:r>
      <w:proofErr w:type="spellEnd"/>
      <w:r w:rsidRPr="007D6C2B">
        <w:t xml:space="preserve"> an den </w:t>
      </w:r>
      <w:proofErr w:type="spellStart"/>
      <w:r w:rsidRPr="007D6C2B">
        <w:t>Kursinhalt</w:t>
      </w:r>
      <w:proofErr w:type="spellEnd"/>
      <w:r w:rsidRPr="007D6C2B">
        <w:t xml:space="preserve">, </w:t>
      </w:r>
      <w:proofErr w:type="spellStart"/>
      <w:r w:rsidRPr="007D6C2B">
        <w:t>aber</w:t>
      </w:r>
      <w:proofErr w:type="spellEnd"/>
      <w:r w:rsidRPr="007D6C2B">
        <w:t xml:space="preserve"> ich </w:t>
      </w:r>
      <w:proofErr w:type="spellStart"/>
      <w:r w:rsidRPr="007D6C2B">
        <w:t>erinnere</w:t>
      </w:r>
      <w:proofErr w:type="spellEnd"/>
      <w:r w:rsidRPr="007D6C2B">
        <w:t xml:space="preserve"> </w:t>
      </w:r>
      <w:proofErr w:type="spellStart"/>
      <w:r w:rsidRPr="007D6C2B">
        <w:t>mich</w:t>
      </w:r>
      <w:proofErr w:type="spellEnd"/>
      <w:r w:rsidRPr="007D6C2B">
        <w:t xml:space="preserve"> </w:t>
      </w:r>
      <w:proofErr w:type="spellStart"/>
      <w:r w:rsidRPr="007D6C2B">
        <w:t>noch</w:t>
      </w:r>
      <w:proofErr w:type="spellEnd"/>
      <w:r w:rsidRPr="007D6C2B">
        <w:t xml:space="preserve"> </w:t>
      </w:r>
      <w:proofErr w:type="spellStart"/>
      <w:r w:rsidRPr="007D6C2B">
        <w:t>genau</w:t>
      </w:r>
      <w:proofErr w:type="spellEnd"/>
      <w:r w:rsidRPr="007D6C2B">
        <w:t xml:space="preserve"> an die Frage, die mir </w:t>
      </w:r>
      <w:proofErr w:type="spellStart"/>
      <w:r w:rsidRPr="007D6C2B">
        <w:t>kam</w:t>
      </w:r>
      <w:proofErr w:type="spellEnd"/>
      <w:r w:rsidRPr="007D6C2B">
        <w:t xml:space="preserve">, </w:t>
      </w:r>
      <w:proofErr w:type="spellStart"/>
      <w:r w:rsidRPr="007D6C2B">
        <w:t>als</w:t>
      </w:r>
      <w:proofErr w:type="spellEnd"/>
      <w:r w:rsidRPr="007D6C2B">
        <w:t xml:space="preserve"> ich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Gerichtsurteil</w:t>
      </w:r>
      <w:proofErr w:type="spellEnd"/>
      <w:r w:rsidRPr="007D6C2B">
        <w:t xml:space="preserve"> </w:t>
      </w:r>
      <w:proofErr w:type="spellStart"/>
      <w:r w:rsidRPr="007D6C2B">
        <w:t>zugunsten</w:t>
      </w:r>
      <w:proofErr w:type="spellEnd"/>
      <w:r w:rsidRPr="007D6C2B">
        <w:t xml:space="preserve"> des </w:t>
      </w:r>
      <w:proofErr w:type="spellStart"/>
      <w:r w:rsidRPr="007D6C2B">
        <w:t>Arbeitnehmers</w:t>
      </w:r>
      <w:proofErr w:type="spellEnd"/>
      <w:r w:rsidRPr="007D6C2B">
        <w:t xml:space="preserve"> </w:t>
      </w:r>
      <w:proofErr w:type="spellStart"/>
      <w:r w:rsidRPr="007D6C2B">
        <w:t>sah</w:t>
      </w:r>
      <w:proofErr w:type="spellEnd"/>
      <w:r w:rsidRPr="007D6C2B">
        <w:t xml:space="preserve">. Es war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einfache</w:t>
      </w:r>
      <w:proofErr w:type="spellEnd"/>
      <w:r w:rsidRPr="007D6C2B">
        <w:t xml:space="preserve"> Frage: „</w:t>
      </w:r>
      <w:proofErr w:type="spellStart"/>
      <w:r w:rsidRPr="007D6C2B">
        <w:t>Rechtlich</w:t>
      </w:r>
      <w:proofErr w:type="spellEnd"/>
      <w:r w:rsidRPr="007D6C2B">
        <w:t xml:space="preserve"> </w:t>
      </w:r>
      <w:proofErr w:type="spellStart"/>
      <w:r w:rsidRPr="007D6C2B">
        <w:t>gesehen</w:t>
      </w:r>
      <w:proofErr w:type="spellEnd"/>
      <w:r w:rsidRPr="007D6C2B">
        <w:t xml:space="preserve"> hat </w:t>
      </w:r>
      <w:proofErr w:type="spellStart"/>
      <w:r w:rsidRPr="007D6C2B">
        <w:t>dieser</w:t>
      </w:r>
      <w:proofErr w:type="spellEnd"/>
      <w:r w:rsidRPr="007D6C2B">
        <w:t xml:space="preserve"> </w:t>
      </w:r>
      <w:proofErr w:type="spellStart"/>
      <w:r w:rsidRPr="007D6C2B">
        <w:t>Arbeitnehmer</w:t>
      </w:r>
      <w:proofErr w:type="spellEnd"/>
      <w:r w:rsidRPr="007D6C2B">
        <w:t xml:space="preserve"> nun das Recht, in </w:t>
      </w:r>
      <w:proofErr w:type="spellStart"/>
      <w:r w:rsidRPr="007D6C2B">
        <w:t>diesem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arbeiten</w:t>
      </w:r>
      <w:proofErr w:type="spellEnd"/>
      <w:r w:rsidRPr="007D6C2B">
        <w:t xml:space="preserve">, </w:t>
      </w:r>
      <w:proofErr w:type="spellStart"/>
      <w:r w:rsidRPr="007D6C2B">
        <w:t>aber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er </w:t>
      </w:r>
      <w:proofErr w:type="spellStart"/>
      <w:r w:rsidRPr="007D6C2B">
        <w:t>tatsächlich</w:t>
      </w:r>
      <w:proofErr w:type="spellEnd"/>
      <w:r w:rsidRPr="007D6C2B">
        <w:t xml:space="preserve"> </w:t>
      </w:r>
      <w:proofErr w:type="spellStart"/>
      <w:r w:rsidRPr="007D6C2B">
        <w:t>dorthin</w:t>
      </w:r>
      <w:proofErr w:type="spellEnd"/>
      <w:r w:rsidRPr="007D6C2B">
        <w:t xml:space="preserve"> </w:t>
      </w:r>
      <w:proofErr w:type="spellStart"/>
      <w:proofErr w:type="gramStart"/>
      <w:r w:rsidRPr="007D6C2B">
        <w:t>zurückgekehrt</w:t>
      </w:r>
      <w:proofErr w:type="spellEnd"/>
      <w:r w:rsidRPr="007D6C2B">
        <w:t>?“</w:t>
      </w:r>
      <w:proofErr w:type="gramEnd"/>
      <w:r w:rsidRPr="007D6C2B">
        <w:t xml:space="preserve"> Das </w:t>
      </w:r>
      <w:proofErr w:type="spellStart"/>
      <w:r w:rsidRPr="007D6C2B">
        <w:t>beschäftigte</w:t>
      </w:r>
      <w:proofErr w:type="spellEnd"/>
      <w:r w:rsidRPr="007D6C2B">
        <w:t xml:space="preserve"> </w:t>
      </w:r>
      <w:proofErr w:type="spellStart"/>
      <w:r w:rsidRPr="007D6C2B">
        <w:t>mich</w:t>
      </w:r>
      <w:proofErr w:type="spellEnd"/>
      <w:r w:rsidRPr="007D6C2B">
        <w:t xml:space="preserve"> </w:t>
      </w:r>
      <w:proofErr w:type="spellStart"/>
      <w:r w:rsidRPr="007D6C2B">
        <w:t>sehr</w:t>
      </w:r>
      <w:proofErr w:type="spellEnd"/>
      <w:r w:rsidRPr="007D6C2B">
        <w:t>.</w:t>
      </w:r>
    </w:p>
    <w:p w14:paraId="56C3147F" w14:textId="77777777" w:rsidR="007D6C2B" w:rsidRPr="007D6C2B" w:rsidRDefault="007D6C2B" w:rsidP="007D6C2B">
      <w:r w:rsidRPr="007D6C2B">
        <w:t xml:space="preserve">　</w:t>
      </w:r>
      <w:proofErr w:type="spellStart"/>
      <w:r w:rsidRPr="007D6C2B">
        <w:t>Diese</w:t>
      </w:r>
      <w:proofErr w:type="spellEnd"/>
      <w:r w:rsidRPr="007D6C2B">
        <w:t xml:space="preserve"> Frage </w:t>
      </w:r>
      <w:proofErr w:type="spellStart"/>
      <w:r w:rsidRPr="007D6C2B">
        <w:t>nach</w:t>
      </w:r>
      <w:proofErr w:type="spellEnd"/>
      <w:r w:rsidRPr="007D6C2B">
        <w:t xml:space="preserve"> der </w:t>
      </w:r>
      <w:proofErr w:type="spellStart"/>
      <w:r w:rsidRPr="007D6C2B">
        <w:t>Wiedereinstellung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einer</w:t>
      </w:r>
      <w:proofErr w:type="spellEnd"/>
      <w:r w:rsidRPr="007D6C2B">
        <w:t xml:space="preserve"> </w:t>
      </w:r>
      <w:proofErr w:type="spellStart"/>
      <w:r w:rsidRPr="007D6C2B">
        <w:t>ungültigen</w:t>
      </w:r>
      <w:proofErr w:type="spellEnd"/>
      <w:r w:rsidRPr="007D6C2B">
        <w:t xml:space="preserve"> </w:t>
      </w:r>
      <w:proofErr w:type="spellStart"/>
      <w:r w:rsidRPr="007D6C2B">
        <w:t>Kündigung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zum</w:t>
      </w:r>
      <w:proofErr w:type="spellEnd"/>
      <w:r w:rsidRPr="007D6C2B">
        <w:t xml:space="preserve"> Thema </w:t>
      </w:r>
      <w:proofErr w:type="spellStart"/>
      <w:r w:rsidRPr="007D6C2B">
        <w:t>meiner</w:t>
      </w:r>
      <w:proofErr w:type="spellEnd"/>
      <w:r w:rsidRPr="007D6C2B">
        <w:t xml:space="preserve"> </w:t>
      </w:r>
      <w:proofErr w:type="spellStart"/>
      <w:r w:rsidRPr="007D6C2B">
        <w:t>Masterarbeit</w:t>
      </w:r>
      <w:proofErr w:type="spellEnd"/>
      <w:r w:rsidRPr="007D6C2B">
        <w:t xml:space="preserve">. Ich </w:t>
      </w:r>
      <w:proofErr w:type="spellStart"/>
      <w:r w:rsidRPr="007D6C2B">
        <w:t>reichte</w:t>
      </w:r>
      <w:proofErr w:type="spellEnd"/>
      <w:r w:rsidRPr="007D6C2B">
        <w:t xml:space="preserve"> </w:t>
      </w:r>
      <w:proofErr w:type="spellStart"/>
      <w:r w:rsidRPr="007D6C2B">
        <w:t>diese</w:t>
      </w:r>
      <w:proofErr w:type="spellEnd"/>
      <w:r w:rsidRPr="007D6C2B">
        <w:t xml:space="preserve"> Arbeit 1993 </w:t>
      </w:r>
      <w:proofErr w:type="spellStart"/>
      <w:r w:rsidRPr="007D6C2B">
        <w:t>ein</w:t>
      </w:r>
      <w:proofErr w:type="spellEnd"/>
      <w:r w:rsidRPr="007D6C2B">
        <w:t xml:space="preserve">. </w:t>
      </w:r>
      <w:proofErr w:type="spellStart"/>
      <w:r w:rsidRPr="007D6C2B">
        <w:t>Über</w:t>
      </w:r>
      <w:proofErr w:type="spellEnd"/>
      <w:r w:rsidRPr="007D6C2B">
        <w:t xml:space="preserve"> </w:t>
      </w:r>
      <w:proofErr w:type="spellStart"/>
      <w:r w:rsidRPr="007D6C2B">
        <w:t>zehn</w:t>
      </w:r>
      <w:proofErr w:type="spellEnd"/>
      <w:r w:rsidRPr="007D6C2B">
        <w:t xml:space="preserve"> Jahre </w:t>
      </w:r>
      <w:proofErr w:type="spellStart"/>
      <w:r w:rsidRPr="007D6C2B">
        <w:t>später</w:t>
      </w:r>
      <w:proofErr w:type="spellEnd"/>
      <w:r w:rsidRPr="007D6C2B">
        <w:t xml:space="preserve"> </w:t>
      </w:r>
      <w:proofErr w:type="spellStart"/>
      <w:r w:rsidRPr="007D6C2B">
        <w:t>untersuchte</w:t>
      </w:r>
      <w:proofErr w:type="spellEnd"/>
      <w:r w:rsidRPr="007D6C2B">
        <w:t xml:space="preserve"> Hirasawa (2005) die Situation </w:t>
      </w:r>
      <w:proofErr w:type="spellStart"/>
      <w:r w:rsidRPr="007D6C2B">
        <w:t>mit</w:t>
      </w:r>
      <w:proofErr w:type="spellEnd"/>
      <w:r w:rsidRPr="007D6C2B">
        <w:t xml:space="preserve"> </w:t>
      </w:r>
      <w:proofErr w:type="spellStart"/>
      <w:r w:rsidRPr="007D6C2B">
        <w:t>derselben</w:t>
      </w:r>
      <w:proofErr w:type="spellEnd"/>
      <w:r w:rsidRPr="007D6C2B">
        <w:t xml:space="preserve"> </w:t>
      </w:r>
      <w:proofErr w:type="spellStart"/>
      <w:r w:rsidRPr="007D6C2B">
        <w:t>Methodik</w:t>
      </w:r>
      <w:proofErr w:type="spellEnd"/>
      <w:r w:rsidRPr="007D6C2B">
        <w:t xml:space="preserve"> </w:t>
      </w:r>
      <w:proofErr w:type="spellStart"/>
      <w:r w:rsidRPr="007D6C2B">
        <w:t>wie</w:t>
      </w:r>
      <w:proofErr w:type="spellEnd"/>
      <w:r w:rsidRPr="007D6C2B">
        <w:t xml:space="preserve"> in </w:t>
      </w:r>
      <w:proofErr w:type="spellStart"/>
      <w:r w:rsidRPr="007D6C2B">
        <w:t>meiner</w:t>
      </w:r>
      <w:proofErr w:type="spellEnd"/>
      <w:r w:rsidRPr="007D6C2B">
        <w:t xml:space="preserve"> Arbeit. Dies war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Forschungsprojekt</w:t>
      </w:r>
      <w:proofErr w:type="spellEnd"/>
      <w:r w:rsidRPr="007D6C2B">
        <w:t xml:space="preserve">, das auf </w:t>
      </w:r>
      <w:proofErr w:type="spellStart"/>
      <w:r w:rsidRPr="007D6C2B">
        <w:t>Anfrage</w:t>
      </w:r>
      <w:proofErr w:type="spellEnd"/>
      <w:r w:rsidRPr="007D6C2B">
        <w:t xml:space="preserve"> des </w:t>
      </w:r>
      <w:proofErr w:type="spellStart"/>
      <w:r w:rsidRPr="007D6C2B">
        <w:t>Ministeriums</w:t>
      </w:r>
      <w:proofErr w:type="spellEnd"/>
      <w:r w:rsidRPr="007D6C2B">
        <w:t xml:space="preserve"> für Gesundheit, Arbeit und </w:t>
      </w:r>
      <w:proofErr w:type="spellStart"/>
      <w:r w:rsidRPr="007D6C2B">
        <w:t>Soziales</w:t>
      </w:r>
      <w:proofErr w:type="spellEnd"/>
      <w:r w:rsidRPr="007D6C2B">
        <w:t xml:space="preserve"> </w:t>
      </w:r>
      <w:proofErr w:type="spellStart"/>
      <w:r w:rsidRPr="007D6C2B">
        <w:t>durchgeführt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. Der Grund für die </w:t>
      </w:r>
      <w:proofErr w:type="spellStart"/>
      <w:r w:rsidRPr="007D6C2B">
        <w:t>Anfrage</w:t>
      </w:r>
      <w:proofErr w:type="spellEnd"/>
      <w:r w:rsidRPr="007D6C2B">
        <w:t xml:space="preserve"> war </w:t>
      </w:r>
      <w:proofErr w:type="spellStart"/>
      <w:r w:rsidRPr="007D6C2B">
        <w:t>folgender</w:t>
      </w:r>
      <w:proofErr w:type="spellEnd"/>
      <w:r w:rsidRPr="007D6C2B">
        <w:t xml:space="preserve">: In Japan </w:t>
      </w:r>
      <w:proofErr w:type="spellStart"/>
      <w:r w:rsidRPr="007D6C2B">
        <w:t>ist</w:t>
      </w:r>
      <w:proofErr w:type="spellEnd"/>
      <w:r w:rsidRPr="007D6C2B">
        <w:t xml:space="preserve"> die </w:t>
      </w:r>
      <w:proofErr w:type="spellStart"/>
      <w:r w:rsidRPr="007D6C2B">
        <w:t>rechtliche</w:t>
      </w:r>
      <w:proofErr w:type="spellEnd"/>
      <w:r w:rsidRPr="007D6C2B">
        <w:t xml:space="preserve"> </w:t>
      </w:r>
      <w:proofErr w:type="spellStart"/>
      <w:r w:rsidRPr="007D6C2B">
        <w:t>Abhilfe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</w:t>
      </w:r>
      <w:proofErr w:type="spellStart"/>
      <w:r w:rsidRPr="007D6C2B">
        <w:t>ungerechtfertigter</w:t>
      </w:r>
      <w:proofErr w:type="spellEnd"/>
      <w:r w:rsidRPr="007D6C2B">
        <w:t xml:space="preserve"> </w:t>
      </w:r>
      <w:proofErr w:type="spellStart"/>
      <w:r w:rsidRPr="007D6C2B">
        <w:t>Kündigung</w:t>
      </w:r>
      <w:proofErr w:type="spellEnd"/>
      <w:r w:rsidRPr="007D6C2B">
        <w:t xml:space="preserve"> </w:t>
      </w:r>
      <w:proofErr w:type="spellStart"/>
      <w:r w:rsidRPr="007D6C2B">
        <w:t>grundsätzlich</w:t>
      </w:r>
      <w:proofErr w:type="spellEnd"/>
      <w:r w:rsidRPr="007D6C2B">
        <w:t xml:space="preserve"> die </w:t>
      </w:r>
      <w:proofErr w:type="spellStart"/>
      <w:r w:rsidRPr="007D6C2B">
        <w:t>Wiedereinstellung</w:t>
      </w:r>
      <w:proofErr w:type="spellEnd"/>
      <w:r w:rsidRPr="007D6C2B">
        <w:t xml:space="preserve"> in die </w:t>
      </w:r>
      <w:proofErr w:type="spellStart"/>
      <w:r w:rsidRPr="007D6C2B">
        <w:t>ursprüngliche</w:t>
      </w:r>
      <w:proofErr w:type="spellEnd"/>
      <w:r w:rsidRPr="007D6C2B">
        <w:t xml:space="preserve"> Position. In der Praxis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Wiedereinstellung</w:t>
      </w:r>
      <w:proofErr w:type="spellEnd"/>
      <w:r w:rsidRPr="007D6C2B">
        <w:t xml:space="preserve">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schwierig</w:t>
      </w:r>
      <w:proofErr w:type="spellEnd"/>
      <w:r w:rsidRPr="007D6C2B">
        <w:t xml:space="preserve">. Daher </w:t>
      </w:r>
      <w:proofErr w:type="spellStart"/>
      <w:r w:rsidRPr="007D6C2B">
        <w:t>beschloss</w:t>
      </w:r>
      <w:proofErr w:type="spellEnd"/>
      <w:r w:rsidRPr="007D6C2B">
        <w:t xml:space="preserve"> die </w:t>
      </w:r>
      <w:proofErr w:type="spellStart"/>
      <w:r w:rsidRPr="007D6C2B">
        <w:t>Regierung</w:t>
      </w:r>
      <w:proofErr w:type="spellEnd"/>
      <w:r w:rsidRPr="007D6C2B">
        <w:t xml:space="preserve">, die </w:t>
      </w:r>
      <w:proofErr w:type="spellStart"/>
      <w:r w:rsidRPr="007D6C2B">
        <w:t>Einrichtung</w:t>
      </w:r>
      <w:proofErr w:type="spellEnd"/>
      <w:r w:rsidRPr="007D6C2B">
        <w:t xml:space="preserve"> </w:t>
      </w:r>
      <w:proofErr w:type="spellStart"/>
      <w:r w:rsidRPr="007D6C2B">
        <w:t>eines</w:t>
      </w:r>
      <w:proofErr w:type="spellEnd"/>
      <w:r w:rsidRPr="007D6C2B">
        <w:t xml:space="preserve"> Systems </w:t>
      </w:r>
      <w:proofErr w:type="spellStart"/>
      <w:r w:rsidRPr="007D6C2B">
        <w:t>zur</w:t>
      </w:r>
      <w:proofErr w:type="spellEnd"/>
      <w:r w:rsidRPr="007D6C2B">
        <w:t xml:space="preserve"> </w:t>
      </w:r>
      <w:proofErr w:type="spellStart"/>
      <w:r w:rsidRPr="007D6C2B">
        <w:t>finanziellen</w:t>
      </w:r>
      <w:proofErr w:type="spellEnd"/>
      <w:r w:rsidRPr="007D6C2B">
        <w:t xml:space="preserve"> </w:t>
      </w:r>
      <w:proofErr w:type="spellStart"/>
      <w:r w:rsidRPr="007D6C2B">
        <w:t>Abfindung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</w:t>
      </w:r>
      <w:proofErr w:type="spellStart"/>
      <w:r w:rsidRPr="007D6C2B">
        <w:t>Entlassungen</w:t>
      </w:r>
      <w:proofErr w:type="spellEnd"/>
      <w:r w:rsidRPr="007D6C2B">
        <w:t xml:space="preserve"> in </w:t>
      </w:r>
      <w:proofErr w:type="spellStart"/>
      <w:r w:rsidRPr="007D6C2B">
        <w:t>Betracht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ziehen</w:t>
      </w:r>
      <w:proofErr w:type="spellEnd"/>
      <w:r w:rsidRPr="007D6C2B">
        <w:t xml:space="preserve">. Hirasawa (2005) </w:t>
      </w:r>
      <w:proofErr w:type="spellStart"/>
      <w:r w:rsidRPr="007D6C2B">
        <w:t>diente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Grundlage</w:t>
      </w:r>
      <w:proofErr w:type="spellEnd"/>
      <w:r w:rsidRPr="007D6C2B">
        <w:t xml:space="preserve"> für </w:t>
      </w:r>
      <w:proofErr w:type="spellStart"/>
      <w:r w:rsidRPr="007D6C2B">
        <w:t>Diskussionen</w:t>
      </w:r>
      <w:proofErr w:type="spellEnd"/>
      <w:r w:rsidRPr="007D6C2B">
        <w:t xml:space="preserve"> </w:t>
      </w:r>
      <w:proofErr w:type="spellStart"/>
      <w:r w:rsidRPr="007D6C2B">
        <w:t>über</w:t>
      </w:r>
      <w:proofErr w:type="spellEnd"/>
      <w:r w:rsidRPr="007D6C2B">
        <w:t xml:space="preserve"> die </w:t>
      </w:r>
      <w:proofErr w:type="spellStart"/>
      <w:r w:rsidRPr="007D6C2B">
        <w:t>Einrichtung</w:t>
      </w:r>
      <w:proofErr w:type="spellEnd"/>
      <w:r w:rsidRPr="007D6C2B">
        <w:t xml:space="preserve"> dieses Systems in </w:t>
      </w:r>
      <w:proofErr w:type="spellStart"/>
      <w:r w:rsidRPr="007D6C2B">
        <w:t>Gremien</w:t>
      </w:r>
      <w:proofErr w:type="spellEnd"/>
      <w:r w:rsidRPr="007D6C2B">
        <w:t xml:space="preserve"> </w:t>
      </w:r>
      <w:proofErr w:type="spellStart"/>
      <w:r w:rsidRPr="007D6C2B">
        <w:t>wie</w:t>
      </w:r>
      <w:proofErr w:type="spellEnd"/>
      <w:r w:rsidRPr="007D6C2B">
        <w:t xml:space="preserve"> dem Rat für </w:t>
      </w:r>
      <w:proofErr w:type="spellStart"/>
      <w:r w:rsidRPr="007D6C2B">
        <w:t>Arbeitspolitik</w:t>
      </w:r>
      <w:proofErr w:type="spellEnd"/>
      <w:r w:rsidRPr="007D6C2B">
        <w:t xml:space="preserve">. </w:t>
      </w:r>
    </w:p>
    <w:p w14:paraId="14F61FFC" w14:textId="77777777" w:rsidR="007D6C2B" w:rsidRPr="007D6C2B" w:rsidRDefault="007D6C2B" w:rsidP="007D6C2B">
      <w:r w:rsidRPr="007D6C2B">
        <w:t xml:space="preserve">Die </w:t>
      </w:r>
      <w:proofErr w:type="spellStart"/>
      <w:r w:rsidRPr="007D6C2B">
        <w:t>finanzielle</w:t>
      </w:r>
      <w:proofErr w:type="spellEnd"/>
      <w:r w:rsidRPr="007D6C2B">
        <w:t xml:space="preserve"> </w:t>
      </w:r>
      <w:proofErr w:type="spellStart"/>
      <w:r w:rsidRPr="007D6C2B">
        <w:t>Abfindung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</w:t>
      </w:r>
      <w:proofErr w:type="spellStart"/>
      <w:r w:rsidRPr="007D6C2B">
        <w:t>Entlassungen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wichtiges</w:t>
      </w:r>
      <w:proofErr w:type="spellEnd"/>
      <w:r w:rsidRPr="007D6C2B">
        <w:t xml:space="preserve"> Thema. Als es </w:t>
      </w:r>
      <w:proofErr w:type="spellStart"/>
      <w:r w:rsidRPr="007D6C2B">
        <w:t>erstmals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Rat für </w:t>
      </w:r>
      <w:proofErr w:type="spellStart"/>
      <w:r w:rsidRPr="007D6C2B">
        <w:t>Arbeitspolitik</w:t>
      </w:r>
      <w:proofErr w:type="spellEnd"/>
      <w:r w:rsidRPr="007D6C2B">
        <w:t xml:space="preserve"> des </w:t>
      </w:r>
      <w:proofErr w:type="spellStart"/>
      <w:r w:rsidRPr="007D6C2B">
        <w:t>Ministeriums</w:t>
      </w:r>
      <w:proofErr w:type="spellEnd"/>
      <w:r w:rsidRPr="007D6C2B">
        <w:t xml:space="preserve"> für Gesundheit, Arbeit und </w:t>
      </w:r>
      <w:proofErr w:type="spellStart"/>
      <w:r w:rsidRPr="007D6C2B">
        <w:t>Soziales</w:t>
      </w:r>
      <w:proofErr w:type="spellEnd"/>
      <w:r w:rsidRPr="007D6C2B">
        <w:t xml:space="preserve"> </w:t>
      </w:r>
      <w:proofErr w:type="spellStart"/>
      <w:r w:rsidRPr="007D6C2B">
        <w:t>diskutiert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, </w:t>
      </w:r>
      <w:proofErr w:type="spellStart"/>
      <w:r w:rsidRPr="007D6C2B">
        <w:t>stieß</w:t>
      </w:r>
      <w:proofErr w:type="spellEnd"/>
      <w:r w:rsidRPr="007D6C2B">
        <w:t xml:space="preserve"> es </w:t>
      </w:r>
      <w:proofErr w:type="spellStart"/>
      <w:r w:rsidRPr="007D6C2B">
        <w:t>sowohl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den </w:t>
      </w:r>
      <w:proofErr w:type="spellStart"/>
      <w:r w:rsidRPr="007D6C2B">
        <w:t>Arbeitnehmern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auch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den </w:t>
      </w:r>
      <w:proofErr w:type="spellStart"/>
      <w:r w:rsidRPr="007D6C2B">
        <w:t>Arbeitgebern</w:t>
      </w:r>
      <w:proofErr w:type="spellEnd"/>
      <w:r w:rsidRPr="007D6C2B">
        <w:t xml:space="preserve"> auf Widerstand. </w:t>
      </w:r>
      <w:proofErr w:type="spellStart"/>
      <w:r w:rsidRPr="007D6C2B">
        <w:t>Obwohl</w:t>
      </w:r>
      <w:proofErr w:type="spellEnd"/>
      <w:r w:rsidRPr="007D6C2B">
        <w:t xml:space="preserve"> </w:t>
      </w:r>
      <w:proofErr w:type="spellStart"/>
      <w:r w:rsidRPr="007D6C2B">
        <w:t>anschließend</w:t>
      </w:r>
      <w:proofErr w:type="spellEnd"/>
      <w:r w:rsidRPr="007D6C2B">
        <w:t xml:space="preserve"> </w:t>
      </w:r>
      <w:proofErr w:type="spellStart"/>
      <w:r w:rsidRPr="007D6C2B">
        <w:lastRenderedPageBreak/>
        <w:t>Diskussionsforen</w:t>
      </w:r>
      <w:proofErr w:type="spellEnd"/>
      <w:r w:rsidRPr="007D6C2B">
        <w:t xml:space="preserve"> </w:t>
      </w:r>
      <w:proofErr w:type="spellStart"/>
      <w:r w:rsidRPr="007D6C2B">
        <w:t>eingerichtet</w:t>
      </w:r>
      <w:proofErr w:type="spellEnd"/>
      <w:r w:rsidRPr="007D6C2B">
        <w:t xml:space="preserve"> </w:t>
      </w:r>
      <w:proofErr w:type="spellStart"/>
      <w:r w:rsidRPr="007D6C2B">
        <w:t>wurden</w:t>
      </w:r>
      <w:proofErr w:type="spellEnd"/>
      <w:r w:rsidRPr="007D6C2B">
        <w:t xml:space="preserve">,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keine</w:t>
      </w:r>
      <w:proofErr w:type="spellEnd"/>
      <w:r w:rsidRPr="007D6C2B">
        <w:t xml:space="preserve"> </w:t>
      </w:r>
      <w:proofErr w:type="spellStart"/>
      <w:r w:rsidRPr="007D6C2B">
        <w:t>Lösung</w:t>
      </w:r>
      <w:proofErr w:type="spellEnd"/>
      <w:r w:rsidRPr="007D6C2B">
        <w:t xml:space="preserve"> </w:t>
      </w:r>
      <w:proofErr w:type="spellStart"/>
      <w:r w:rsidRPr="007D6C2B">
        <w:t>gefunden</w:t>
      </w:r>
      <w:proofErr w:type="spellEnd"/>
      <w:r w:rsidRPr="007D6C2B">
        <w:t>.</w:t>
      </w:r>
    </w:p>
    <w:p w14:paraId="4135C3D7" w14:textId="77777777" w:rsidR="007D6C2B" w:rsidRPr="007D6C2B" w:rsidRDefault="007D6C2B" w:rsidP="007D6C2B">
      <w:r w:rsidRPr="007D6C2B">
        <w:t xml:space="preserve">In </w:t>
      </w:r>
      <w:proofErr w:type="spellStart"/>
      <w:r w:rsidRPr="007D6C2B">
        <w:t>diesem</w:t>
      </w:r>
      <w:proofErr w:type="spellEnd"/>
      <w:r w:rsidRPr="007D6C2B">
        <w:t xml:space="preserve"> Jahr, 2026, </w:t>
      </w:r>
      <w:proofErr w:type="spellStart"/>
      <w:r w:rsidRPr="007D6C2B">
        <w:t>sollen</w:t>
      </w:r>
      <w:proofErr w:type="spellEnd"/>
      <w:r w:rsidRPr="007D6C2B">
        <w:t xml:space="preserve"> die </w:t>
      </w:r>
      <w:proofErr w:type="spellStart"/>
      <w:r w:rsidRPr="007D6C2B">
        <w:t>Diskussionen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</w:t>
      </w:r>
      <w:proofErr w:type="spellStart"/>
      <w:r w:rsidRPr="007D6C2B">
        <w:t>Arbeitspolitischen</w:t>
      </w:r>
      <w:proofErr w:type="spellEnd"/>
      <w:r w:rsidRPr="007D6C2B">
        <w:t xml:space="preserve"> Rat </w:t>
      </w:r>
      <w:proofErr w:type="spellStart"/>
      <w:r w:rsidRPr="007D6C2B">
        <w:t>wieder</w:t>
      </w:r>
      <w:proofErr w:type="spellEnd"/>
      <w:r w:rsidRPr="007D6C2B">
        <w:t xml:space="preserve"> </w:t>
      </w:r>
      <w:proofErr w:type="spellStart"/>
      <w:r w:rsidRPr="007D6C2B">
        <w:t>aufgenommen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>.</w:t>
      </w:r>
    </w:p>
    <w:p w14:paraId="46A6D8E9" w14:textId="77777777" w:rsidR="007D6C2B" w:rsidRPr="007D6C2B" w:rsidRDefault="007D6C2B" w:rsidP="007D6C2B"/>
    <w:p w14:paraId="09DC3944" w14:textId="77777777" w:rsidR="007D6C2B" w:rsidRPr="007D6C2B" w:rsidRDefault="007D6C2B" w:rsidP="007D6C2B">
      <w:r w:rsidRPr="007D6C2B">
        <w:rPr>
          <w:b/>
          <w:bCs/>
        </w:rPr>
        <w:t xml:space="preserve">２　</w:t>
      </w:r>
      <w:r w:rsidRPr="007D6C2B">
        <w:rPr>
          <w:b/>
          <w:bCs/>
        </w:rPr>
        <w:t xml:space="preserve">Das </w:t>
      </w:r>
      <w:proofErr w:type="spellStart"/>
      <w:r w:rsidRPr="007D6C2B">
        <w:rPr>
          <w:b/>
          <w:bCs/>
        </w:rPr>
        <w:t>heutige</w:t>
      </w:r>
      <w:proofErr w:type="spellEnd"/>
      <w:r w:rsidRPr="007D6C2B">
        <w:rPr>
          <w:b/>
          <w:bCs/>
        </w:rPr>
        <w:t xml:space="preserve"> Thema: Das </w:t>
      </w:r>
      <w:proofErr w:type="spellStart"/>
      <w:r w:rsidRPr="007D6C2B">
        <w:rPr>
          <w:b/>
          <w:bCs/>
        </w:rPr>
        <w:t>Prinzip</w:t>
      </w:r>
      <w:proofErr w:type="spellEnd"/>
      <w:r w:rsidRPr="007D6C2B">
        <w:rPr>
          <w:b/>
          <w:bCs/>
        </w:rPr>
        <w:t xml:space="preserve"> </w:t>
      </w:r>
      <w:proofErr w:type="spellStart"/>
      <w:r w:rsidRPr="007D6C2B">
        <w:rPr>
          <w:b/>
          <w:bCs/>
        </w:rPr>
        <w:t>irrationalen</w:t>
      </w:r>
      <w:proofErr w:type="spellEnd"/>
      <w:r w:rsidRPr="007D6C2B">
        <w:rPr>
          <w:b/>
          <w:bCs/>
        </w:rPr>
        <w:t xml:space="preserve"> </w:t>
      </w:r>
      <w:proofErr w:type="spellStart"/>
      <w:r w:rsidRPr="007D6C2B">
        <w:rPr>
          <w:b/>
          <w:bCs/>
        </w:rPr>
        <w:t>Verhaltens</w:t>
      </w:r>
      <w:proofErr w:type="spellEnd"/>
      <w:r w:rsidRPr="007D6C2B">
        <w:rPr>
          <w:b/>
          <w:bCs/>
        </w:rPr>
        <w:t xml:space="preserve"> von </w:t>
      </w:r>
      <w:proofErr w:type="spellStart"/>
      <w:r w:rsidRPr="007D6C2B">
        <w:rPr>
          <w:b/>
          <w:bCs/>
        </w:rPr>
        <w:t>Arbeitnehmern</w:t>
      </w:r>
      <w:proofErr w:type="spellEnd"/>
      <w:r w:rsidRPr="007D6C2B">
        <w:rPr>
          <w:b/>
          <w:bCs/>
        </w:rPr>
        <w:t xml:space="preserve"> und </w:t>
      </w:r>
      <w:proofErr w:type="spellStart"/>
      <w:r w:rsidRPr="007D6C2B">
        <w:rPr>
          <w:b/>
          <w:bCs/>
        </w:rPr>
        <w:t>Arbeitgebern</w:t>
      </w:r>
      <w:proofErr w:type="spellEnd"/>
    </w:p>
    <w:p w14:paraId="608D9847" w14:textId="77777777" w:rsidR="007D6C2B" w:rsidRPr="007D6C2B" w:rsidRDefault="007D6C2B" w:rsidP="007D6C2B">
      <w:r w:rsidRPr="007D6C2B">
        <w:t xml:space="preserve">　</w:t>
      </w:r>
      <w:r w:rsidRPr="007D6C2B">
        <w:t xml:space="preserve">Alle </w:t>
      </w:r>
      <w:proofErr w:type="spellStart"/>
      <w:r w:rsidRPr="007D6C2B">
        <w:t>Streitbeilegungssysteme</w:t>
      </w:r>
      <w:proofErr w:type="spellEnd"/>
      <w:r w:rsidRPr="007D6C2B">
        <w:t xml:space="preserve"> </w:t>
      </w:r>
      <w:proofErr w:type="spellStart"/>
      <w:r w:rsidRPr="007D6C2B">
        <w:t>sind</w:t>
      </w:r>
      <w:proofErr w:type="spellEnd"/>
      <w:r w:rsidRPr="007D6C2B">
        <w:t xml:space="preserve"> </w:t>
      </w:r>
      <w:proofErr w:type="spellStart"/>
      <w:r w:rsidRPr="007D6C2B">
        <w:t>darauf</w:t>
      </w:r>
      <w:proofErr w:type="spellEnd"/>
      <w:r w:rsidRPr="007D6C2B">
        <w:t xml:space="preserve"> </w:t>
      </w:r>
      <w:proofErr w:type="spellStart"/>
      <w:r w:rsidRPr="007D6C2B">
        <w:t>ausgelegt</w:t>
      </w:r>
      <w:proofErr w:type="spellEnd"/>
      <w:r w:rsidRPr="007D6C2B">
        <w:t xml:space="preserve">, </w:t>
      </w:r>
      <w:proofErr w:type="spellStart"/>
      <w:r w:rsidRPr="007D6C2B">
        <w:t>Streitigkeiten</w:t>
      </w:r>
      <w:proofErr w:type="spellEnd"/>
      <w:r w:rsidRPr="007D6C2B">
        <w:t xml:space="preserve"> so </w:t>
      </w:r>
      <w:proofErr w:type="spellStart"/>
      <w:r w:rsidRPr="007D6C2B">
        <w:t>früh</w:t>
      </w:r>
      <w:proofErr w:type="spellEnd"/>
      <w:r w:rsidRPr="007D6C2B">
        <w:t xml:space="preserve"> </w:t>
      </w:r>
      <w:proofErr w:type="spellStart"/>
      <w:r w:rsidRPr="007D6C2B">
        <w:t>wie</w:t>
      </w:r>
      <w:proofErr w:type="spellEnd"/>
      <w:r w:rsidRPr="007D6C2B">
        <w:t xml:space="preserve"> </w:t>
      </w:r>
      <w:proofErr w:type="spellStart"/>
      <w:r w:rsidRPr="007D6C2B">
        <w:t>möglich</w:t>
      </w:r>
      <w:proofErr w:type="spellEnd"/>
      <w:r w:rsidRPr="007D6C2B">
        <w:t xml:space="preserve"> und in </w:t>
      </w:r>
      <w:proofErr w:type="spellStart"/>
      <w:r w:rsidRPr="007D6C2B">
        <w:t>möglichst</w:t>
      </w:r>
      <w:proofErr w:type="spellEnd"/>
      <w:r w:rsidRPr="007D6C2B">
        <w:t xml:space="preserve"> </w:t>
      </w:r>
      <w:proofErr w:type="spellStart"/>
      <w:r w:rsidRPr="007D6C2B">
        <w:t>geringem</w:t>
      </w:r>
      <w:proofErr w:type="spellEnd"/>
      <w:r w:rsidRPr="007D6C2B">
        <w:t xml:space="preserve"> </w:t>
      </w:r>
      <w:proofErr w:type="spellStart"/>
      <w:r w:rsidRPr="007D6C2B">
        <w:t>Umfang</w:t>
      </w:r>
      <w:proofErr w:type="spellEnd"/>
      <w:r w:rsidRPr="007D6C2B">
        <w:t xml:space="preserve"> </w:t>
      </w:r>
      <w:proofErr w:type="spellStart"/>
      <w:r w:rsidRPr="007D6C2B">
        <w:t>beizulegen</w:t>
      </w:r>
      <w:proofErr w:type="spellEnd"/>
      <w:r w:rsidRPr="007D6C2B">
        <w:t xml:space="preserve">. Eine </w:t>
      </w:r>
      <w:proofErr w:type="spellStart"/>
      <w:r w:rsidRPr="007D6C2B">
        <w:t>frühzeitige</w:t>
      </w:r>
      <w:proofErr w:type="spellEnd"/>
      <w:r w:rsidRPr="007D6C2B">
        <w:t xml:space="preserve"> </w:t>
      </w:r>
      <w:proofErr w:type="spellStart"/>
      <w:r w:rsidRPr="007D6C2B">
        <w:t>Streitbeilegung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</w:t>
      </w:r>
      <w:proofErr w:type="spellStart"/>
      <w:r w:rsidRPr="007D6C2B">
        <w:t>Allgemeinen</w:t>
      </w:r>
      <w:proofErr w:type="spellEnd"/>
      <w:r w:rsidRPr="007D6C2B">
        <w:t xml:space="preserve"> rational. Oft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beobachten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die </w:t>
      </w:r>
      <w:proofErr w:type="spellStart"/>
      <w:r w:rsidRPr="007D6C2B">
        <w:t>tatsächlichen</w:t>
      </w:r>
      <w:proofErr w:type="spellEnd"/>
      <w:r w:rsidRPr="007D6C2B">
        <w:t xml:space="preserve"> </w:t>
      </w:r>
      <w:proofErr w:type="spellStart"/>
      <w:r w:rsidRPr="007D6C2B">
        <w:t>Streitparteien</w:t>
      </w:r>
      <w:proofErr w:type="spellEnd"/>
      <w:r w:rsidRPr="007D6C2B">
        <w:t xml:space="preserve"> </w:t>
      </w:r>
      <w:proofErr w:type="spellStart"/>
      <w:r w:rsidRPr="007D6C2B">
        <w:t>Worte</w:t>
      </w:r>
      <w:proofErr w:type="spellEnd"/>
      <w:r w:rsidRPr="007D6C2B">
        <w:t xml:space="preserve"> und </w:t>
      </w:r>
      <w:proofErr w:type="spellStart"/>
      <w:r w:rsidRPr="007D6C2B">
        <w:t>Handlungen</w:t>
      </w:r>
      <w:proofErr w:type="spellEnd"/>
      <w:r w:rsidRPr="007D6C2B">
        <w:t xml:space="preserve"> an den Tag </w:t>
      </w:r>
      <w:proofErr w:type="spellStart"/>
      <w:r w:rsidRPr="007D6C2B">
        <w:t>legen</w:t>
      </w:r>
      <w:proofErr w:type="spellEnd"/>
      <w:r w:rsidRPr="007D6C2B">
        <w:t xml:space="preserve">, die </w:t>
      </w:r>
      <w:proofErr w:type="spellStart"/>
      <w:r w:rsidRPr="007D6C2B">
        <w:t>dazu</w:t>
      </w:r>
      <w:proofErr w:type="spellEnd"/>
      <w:r w:rsidRPr="007D6C2B">
        <w:t xml:space="preserve"> </w:t>
      </w:r>
      <w:proofErr w:type="spellStart"/>
      <w:r w:rsidRPr="007D6C2B">
        <w:t>neigen</w:t>
      </w:r>
      <w:proofErr w:type="spellEnd"/>
      <w:r w:rsidRPr="007D6C2B">
        <w:t xml:space="preserve">, den Streit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eskalieren</w:t>
      </w:r>
      <w:proofErr w:type="spellEnd"/>
      <w:r w:rsidRPr="007D6C2B">
        <w:t xml:space="preserve"> und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verlängern</w:t>
      </w:r>
      <w:proofErr w:type="spellEnd"/>
      <w:r w:rsidRPr="007D6C2B">
        <w:t xml:space="preserve">. Aus </w:t>
      </w:r>
      <w:proofErr w:type="spellStart"/>
      <w:r w:rsidRPr="007D6C2B">
        <w:t>allgemeiner</w:t>
      </w:r>
      <w:proofErr w:type="spellEnd"/>
      <w:r w:rsidRPr="007D6C2B">
        <w:t xml:space="preserve"> Sicht </w:t>
      </w:r>
      <w:proofErr w:type="spellStart"/>
      <w:r w:rsidRPr="007D6C2B">
        <w:t>erscheint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solches</w:t>
      </w:r>
      <w:proofErr w:type="spellEnd"/>
      <w:r w:rsidRPr="007D6C2B">
        <w:t xml:space="preserve"> </w:t>
      </w:r>
      <w:proofErr w:type="spellStart"/>
      <w:r w:rsidRPr="007D6C2B">
        <w:t>Verhalten</w:t>
      </w:r>
      <w:proofErr w:type="spellEnd"/>
      <w:r w:rsidRPr="007D6C2B">
        <w:t xml:space="preserve"> irrational. Wenn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solches</w:t>
      </w:r>
      <w:proofErr w:type="spellEnd"/>
      <w:r w:rsidRPr="007D6C2B">
        <w:t xml:space="preserve"> </w:t>
      </w:r>
      <w:proofErr w:type="spellStart"/>
      <w:r w:rsidRPr="007D6C2B">
        <w:t>irrationales</w:t>
      </w:r>
      <w:proofErr w:type="spellEnd"/>
      <w:r w:rsidRPr="007D6C2B">
        <w:t xml:space="preserve"> </w:t>
      </w:r>
      <w:proofErr w:type="spellStart"/>
      <w:r w:rsidRPr="007D6C2B">
        <w:t>Verhalten</w:t>
      </w:r>
      <w:proofErr w:type="spellEnd"/>
      <w:r w:rsidRPr="007D6C2B">
        <w:t xml:space="preserve"> </w:t>
      </w:r>
      <w:proofErr w:type="spellStart"/>
      <w:r w:rsidRPr="007D6C2B">
        <w:t>häufig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beobachten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, </w:t>
      </w:r>
      <w:proofErr w:type="spellStart"/>
      <w:r w:rsidRPr="007D6C2B">
        <w:t>müssen</w:t>
      </w:r>
      <w:proofErr w:type="spellEnd"/>
      <w:r w:rsidRPr="007D6C2B">
        <w:t xml:space="preserve"> </w:t>
      </w:r>
      <w:proofErr w:type="spellStart"/>
      <w:r w:rsidRPr="007D6C2B">
        <w:t>wir</w:t>
      </w:r>
      <w:proofErr w:type="spellEnd"/>
      <w:r w:rsidRPr="007D6C2B">
        <w:t xml:space="preserve"> </w:t>
      </w:r>
      <w:proofErr w:type="spellStart"/>
      <w:r w:rsidRPr="007D6C2B">
        <w:t>davon</w:t>
      </w:r>
      <w:proofErr w:type="spellEnd"/>
      <w:r w:rsidRPr="007D6C2B">
        <w:t xml:space="preserve"> </w:t>
      </w:r>
      <w:proofErr w:type="spellStart"/>
      <w:r w:rsidRPr="007D6C2B">
        <w:t>ausgehen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es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Rationalität</w:t>
      </w:r>
      <w:proofErr w:type="spellEnd"/>
      <w:r w:rsidRPr="007D6C2B">
        <w:t xml:space="preserve"> </w:t>
      </w:r>
      <w:proofErr w:type="spellStart"/>
      <w:r w:rsidRPr="007D6C2B">
        <w:t>gibt</w:t>
      </w:r>
      <w:proofErr w:type="spellEnd"/>
      <w:r w:rsidRPr="007D6C2B">
        <w:t xml:space="preserve">, die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einem</w:t>
      </w:r>
      <w:proofErr w:type="spellEnd"/>
      <w:r w:rsidRPr="007D6C2B">
        <w:t xml:space="preserve"> </w:t>
      </w:r>
      <w:proofErr w:type="spellStart"/>
      <w:r w:rsidRPr="007D6C2B">
        <w:t>solchen</w:t>
      </w:r>
      <w:proofErr w:type="spellEnd"/>
      <w:r w:rsidRPr="007D6C2B">
        <w:t xml:space="preserve"> </w:t>
      </w:r>
      <w:proofErr w:type="spellStart"/>
      <w:r w:rsidRPr="007D6C2B">
        <w:t>Verhalten</w:t>
      </w:r>
      <w:proofErr w:type="spellEnd"/>
      <w:r w:rsidRPr="007D6C2B">
        <w:t xml:space="preserve"> </w:t>
      </w:r>
      <w:proofErr w:type="spellStart"/>
      <w:r w:rsidRPr="007D6C2B">
        <w:t>zwingt</w:t>
      </w:r>
      <w:proofErr w:type="spellEnd"/>
      <w:r w:rsidRPr="007D6C2B">
        <w:t xml:space="preserve">. </w:t>
      </w:r>
    </w:p>
    <w:p w14:paraId="3317CCF0" w14:textId="77777777" w:rsidR="007D6C2B" w:rsidRPr="007D6C2B" w:rsidRDefault="007D6C2B" w:rsidP="007D6C2B">
      <w:proofErr w:type="spellStart"/>
      <w:r w:rsidRPr="007D6C2B">
        <w:t>Darüber</w:t>
      </w:r>
      <w:proofErr w:type="spellEnd"/>
      <w:r w:rsidRPr="007D6C2B">
        <w:t xml:space="preserve"> </w:t>
      </w:r>
      <w:proofErr w:type="spellStart"/>
      <w:r w:rsidRPr="007D6C2B">
        <w:t>hinaus</w:t>
      </w:r>
      <w:proofErr w:type="spellEnd"/>
      <w:r w:rsidRPr="007D6C2B">
        <w:t xml:space="preserve"> </w:t>
      </w:r>
      <w:proofErr w:type="spellStart"/>
      <w:r w:rsidRPr="007D6C2B">
        <w:t>entstehen</w:t>
      </w:r>
      <w:proofErr w:type="spellEnd"/>
      <w:r w:rsidRPr="007D6C2B">
        <w:t xml:space="preserve"> die </w:t>
      </w:r>
      <w:proofErr w:type="spellStart"/>
      <w:r w:rsidRPr="007D6C2B">
        <w:t>sogenannten</w:t>
      </w:r>
      <w:proofErr w:type="spellEnd"/>
      <w:r w:rsidRPr="007D6C2B">
        <w:t xml:space="preserve"> </w:t>
      </w:r>
      <w:proofErr w:type="spellStart"/>
      <w:r w:rsidRPr="007D6C2B">
        <w:t>Leitfälle</w:t>
      </w:r>
      <w:proofErr w:type="spellEnd"/>
      <w:r w:rsidRPr="007D6C2B">
        <w:t xml:space="preserve"> – </w:t>
      </w:r>
      <w:proofErr w:type="spellStart"/>
      <w:r w:rsidRPr="007D6C2B">
        <w:t>Präzedenzfälle</w:t>
      </w:r>
      <w:proofErr w:type="spellEnd"/>
      <w:r w:rsidRPr="007D6C2B">
        <w:t xml:space="preserve">, die </w:t>
      </w:r>
      <w:proofErr w:type="spellStart"/>
      <w:r w:rsidRPr="007D6C2B">
        <w:t>später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gerichtlichen</w:t>
      </w:r>
      <w:proofErr w:type="spellEnd"/>
      <w:r w:rsidRPr="007D6C2B">
        <w:t xml:space="preserve"> Normen und </w:t>
      </w:r>
      <w:proofErr w:type="spellStart"/>
      <w:r w:rsidRPr="007D6C2B">
        <w:t>Bezugspunkten</w:t>
      </w:r>
      <w:proofErr w:type="spellEnd"/>
      <w:r w:rsidRPr="007D6C2B">
        <w:t xml:space="preserve"> für das </w:t>
      </w:r>
      <w:proofErr w:type="spellStart"/>
      <w:r w:rsidRPr="007D6C2B">
        <w:t>Verhalten</w:t>
      </w:r>
      <w:proofErr w:type="spellEnd"/>
      <w:r w:rsidRPr="007D6C2B">
        <w:t xml:space="preserve"> von </w:t>
      </w:r>
      <w:proofErr w:type="spellStart"/>
      <w:r w:rsidRPr="007D6C2B">
        <w:t>Arbeitgebern</w:t>
      </w:r>
      <w:proofErr w:type="spellEnd"/>
      <w:r w:rsidRPr="007D6C2B">
        <w:t xml:space="preserve"> und </w:t>
      </w:r>
      <w:proofErr w:type="spellStart"/>
      <w:r w:rsidRPr="007D6C2B">
        <w:t>Arbeitnehmern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 xml:space="preserve"> – oft </w:t>
      </w:r>
      <w:proofErr w:type="spellStart"/>
      <w:r w:rsidRPr="007D6C2B">
        <w:t>aus</w:t>
      </w:r>
      <w:proofErr w:type="spellEnd"/>
      <w:r w:rsidRPr="007D6C2B">
        <w:t xml:space="preserve"> </w:t>
      </w:r>
      <w:proofErr w:type="spellStart"/>
      <w:r w:rsidRPr="007D6C2B">
        <w:t>langwierigen</w:t>
      </w:r>
      <w:proofErr w:type="spellEnd"/>
      <w:r w:rsidRPr="007D6C2B">
        <w:t xml:space="preserve"> und </w:t>
      </w:r>
      <w:proofErr w:type="spellStart"/>
      <w:r w:rsidRPr="007D6C2B">
        <w:t>groß</w:t>
      </w:r>
      <w:proofErr w:type="spellEnd"/>
      <w:r w:rsidRPr="007D6C2B">
        <w:t xml:space="preserve"> </w:t>
      </w:r>
      <w:proofErr w:type="spellStart"/>
      <w:r w:rsidRPr="007D6C2B">
        <w:t>angelegten</w:t>
      </w:r>
      <w:proofErr w:type="spellEnd"/>
      <w:r w:rsidRPr="007D6C2B">
        <w:t xml:space="preserve"> </w:t>
      </w:r>
      <w:proofErr w:type="spellStart"/>
      <w:r w:rsidRPr="007D6C2B">
        <w:t>Streitigkeiten</w:t>
      </w:r>
      <w:proofErr w:type="spellEnd"/>
      <w:r w:rsidRPr="007D6C2B">
        <w:t xml:space="preserve">. In </w:t>
      </w:r>
      <w:proofErr w:type="spellStart"/>
      <w:r w:rsidRPr="007D6C2B">
        <w:t>diesem</w:t>
      </w:r>
      <w:proofErr w:type="spellEnd"/>
      <w:r w:rsidRPr="007D6C2B">
        <w:t xml:space="preserve"> Sinne </w:t>
      </w:r>
      <w:proofErr w:type="spellStart"/>
      <w:r w:rsidRPr="007D6C2B">
        <w:t>könnte</w:t>
      </w:r>
      <w:proofErr w:type="spellEnd"/>
      <w:r w:rsidRPr="007D6C2B">
        <w:t xml:space="preserve"> man </w:t>
      </w:r>
      <w:proofErr w:type="spellStart"/>
      <w:r w:rsidRPr="007D6C2B">
        <w:t>sagen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</w:t>
      </w:r>
      <w:proofErr w:type="spellStart"/>
      <w:r w:rsidRPr="007D6C2B">
        <w:t>diese</w:t>
      </w:r>
      <w:proofErr w:type="spellEnd"/>
      <w:r w:rsidRPr="007D6C2B">
        <w:t xml:space="preserve"> </w:t>
      </w:r>
      <w:proofErr w:type="spellStart"/>
      <w:r w:rsidRPr="007D6C2B">
        <w:t>Irrationalität</w:t>
      </w:r>
      <w:proofErr w:type="spellEnd"/>
      <w:r w:rsidRPr="007D6C2B">
        <w:t xml:space="preserve"> </w:t>
      </w:r>
      <w:proofErr w:type="spellStart"/>
      <w:r w:rsidRPr="007D6C2B">
        <w:t>unvermeidlich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(</w:t>
      </w:r>
      <w:proofErr w:type="spellStart"/>
      <w:r w:rsidRPr="007D6C2B">
        <w:t>Tabelle</w:t>
      </w:r>
      <w:proofErr w:type="spellEnd"/>
      <w:r w:rsidRPr="007D6C2B">
        <w:t xml:space="preserve"> 1). Ich </w:t>
      </w:r>
      <w:proofErr w:type="spellStart"/>
      <w:r w:rsidRPr="007D6C2B">
        <w:t>habe</w:t>
      </w:r>
      <w:proofErr w:type="spellEnd"/>
      <w:r w:rsidRPr="007D6C2B">
        <w:t xml:space="preserve"> </w:t>
      </w:r>
      <w:proofErr w:type="spellStart"/>
      <w:r w:rsidRPr="007D6C2B">
        <w:t>Fallstudien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den </w:t>
      </w:r>
      <w:proofErr w:type="spellStart"/>
      <w:r w:rsidRPr="007D6C2B">
        <w:t>drei</w:t>
      </w:r>
      <w:proofErr w:type="spellEnd"/>
      <w:r w:rsidRPr="007D6C2B">
        <w:t xml:space="preserve"> in </w:t>
      </w:r>
      <w:proofErr w:type="spellStart"/>
      <w:r w:rsidRPr="007D6C2B">
        <w:t>Tabelle</w:t>
      </w:r>
      <w:proofErr w:type="spellEnd"/>
      <w:r w:rsidRPr="007D6C2B">
        <w:t xml:space="preserve"> 1 </w:t>
      </w:r>
      <w:proofErr w:type="spellStart"/>
      <w:r w:rsidRPr="007D6C2B">
        <w:t>aufgeführten</w:t>
      </w:r>
      <w:proofErr w:type="spellEnd"/>
      <w:r w:rsidRPr="007D6C2B">
        <w:t xml:space="preserve"> </w:t>
      </w:r>
      <w:proofErr w:type="spellStart"/>
      <w:r w:rsidRPr="007D6C2B">
        <w:t>Beispielen</w:t>
      </w:r>
      <w:proofErr w:type="spellEnd"/>
      <w:r w:rsidRPr="007D6C2B">
        <w:t xml:space="preserve"> </w:t>
      </w:r>
      <w:proofErr w:type="spellStart"/>
      <w:r w:rsidRPr="007D6C2B">
        <w:t>durchgeführt</w:t>
      </w:r>
      <w:proofErr w:type="spellEnd"/>
      <w:r w:rsidRPr="007D6C2B">
        <w:t xml:space="preserve"> (</w:t>
      </w:r>
      <w:proofErr w:type="spellStart"/>
      <w:r w:rsidRPr="007D6C2B">
        <w:t>Kambayashi</w:t>
      </w:r>
      <w:proofErr w:type="spellEnd"/>
      <w:r w:rsidRPr="007D6C2B">
        <w:t xml:space="preserve"> &amp; Hirasawa 2008a, </w:t>
      </w:r>
      <w:proofErr w:type="spellStart"/>
      <w:r w:rsidRPr="007D6C2B">
        <w:t>Kambayashi</w:t>
      </w:r>
      <w:proofErr w:type="spellEnd"/>
      <w:r w:rsidRPr="007D6C2B">
        <w:t xml:space="preserve"> &amp; Hirasawa 2008b).</w:t>
      </w:r>
    </w:p>
    <w:p w14:paraId="331DD14E" w14:textId="77777777" w:rsidR="006530BA" w:rsidRDefault="007D6C2B" w:rsidP="006530BA">
      <w:pPr>
        <w:rPr>
          <w:b/>
          <w:bCs/>
        </w:rPr>
      </w:pPr>
      <w:proofErr w:type="spellStart"/>
      <w:r w:rsidRPr="007D6C2B">
        <w:t>Warum</w:t>
      </w:r>
      <w:proofErr w:type="spellEnd"/>
      <w:r w:rsidRPr="007D6C2B">
        <w:t xml:space="preserve"> </w:t>
      </w:r>
      <w:proofErr w:type="spellStart"/>
      <w:r w:rsidRPr="007D6C2B">
        <w:t>eskalieren</w:t>
      </w:r>
      <w:proofErr w:type="spellEnd"/>
      <w:r w:rsidRPr="007D6C2B">
        <w:t xml:space="preserve"> und </w:t>
      </w:r>
      <w:proofErr w:type="spellStart"/>
      <w:r w:rsidRPr="007D6C2B">
        <w:t>verlängern</w:t>
      </w:r>
      <w:proofErr w:type="spellEnd"/>
      <w:r w:rsidRPr="007D6C2B">
        <w:t xml:space="preserve"> die </w:t>
      </w:r>
      <w:proofErr w:type="spellStart"/>
      <w:r w:rsidRPr="007D6C2B">
        <w:t>Parteien</w:t>
      </w:r>
      <w:proofErr w:type="spellEnd"/>
      <w:r w:rsidRPr="007D6C2B">
        <w:t xml:space="preserve"> </w:t>
      </w:r>
      <w:proofErr w:type="spellStart"/>
      <w:r w:rsidRPr="007D6C2B">
        <w:t>selbst</w:t>
      </w:r>
      <w:proofErr w:type="spellEnd"/>
      <w:r w:rsidRPr="007D6C2B">
        <w:t xml:space="preserve"> den </w:t>
      </w:r>
      <w:proofErr w:type="spellStart"/>
      <w:r w:rsidRPr="007D6C2B">
        <w:t>Konflikt</w:t>
      </w:r>
      <w:proofErr w:type="spellEnd"/>
      <w:r w:rsidRPr="007D6C2B">
        <w:t xml:space="preserve">? Bei der </w:t>
      </w:r>
      <w:proofErr w:type="spellStart"/>
      <w:r w:rsidRPr="007D6C2B">
        <w:t>Untersuchung</w:t>
      </w:r>
      <w:proofErr w:type="spellEnd"/>
      <w:r w:rsidRPr="007D6C2B">
        <w:t xml:space="preserve"> der </w:t>
      </w:r>
      <w:proofErr w:type="spellStart"/>
      <w:r w:rsidRPr="007D6C2B">
        <w:t>Verhaltensprinzipien</w:t>
      </w:r>
      <w:proofErr w:type="spellEnd"/>
      <w:r w:rsidRPr="007D6C2B">
        <w:t xml:space="preserve"> </w:t>
      </w:r>
      <w:proofErr w:type="spellStart"/>
      <w:r w:rsidRPr="007D6C2B">
        <w:t>sowohl</w:t>
      </w:r>
      <w:proofErr w:type="spellEnd"/>
      <w:r w:rsidRPr="007D6C2B">
        <w:t xml:space="preserve"> der </w:t>
      </w:r>
      <w:proofErr w:type="spellStart"/>
      <w:r w:rsidRPr="007D6C2B">
        <w:t>Arbeitnehmer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auch</w:t>
      </w:r>
      <w:proofErr w:type="spellEnd"/>
      <w:r w:rsidRPr="007D6C2B">
        <w:t xml:space="preserve"> der </w:t>
      </w:r>
      <w:proofErr w:type="spellStart"/>
      <w:r w:rsidRPr="007D6C2B">
        <w:t>Arbeitgeber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Konfliktparteien</w:t>
      </w:r>
      <w:proofErr w:type="spellEnd"/>
      <w:r w:rsidRPr="007D6C2B">
        <w:t xml:space="preserve"> </w:t>
      </w:r>
      <w:proofErr w:type="spellStart"/>
      <w:r w:rsidRPr="007D6C2B">
        <w:t>finde</w:t>
      </w:r>
      <w:proofErr w:type="spellEnd"/>
      <w:r w:rsidRPr="007D6C2B">
        <w:t xml:space="preserve"> ich </w:t>
      </w:r>
      <w:proofErr w:type="spellStart"/>
      <w:r w:rsidRPr="007D6C2B">
        <w:t>Hinweise</w:t>
      </w:r>
      <w:proofErr w:type="spellEnd"/>
      <w:r w:rsidRPr="007D6C2B">
        <w:t xml:space="preserve"> in </w:t>
      </w:r>
      <w:r w:rsidR="006530BA">
        <w:rPr>
          <w:rFonts w:hint="eastAsia"/>
        </w:rPr>
        <w:t>der</w:t>
      </w:r>
      <w:r w:rsidR="006530BA" w:rsidRPr="006530BA">
        <w:t xml:space="preserve"> Logik der </w:t>
      </w:r>
      <w:proofErr w:type="spellStart"/>
      <w:r w:rsidR="006530BA" w:rsidRPr="006530BA">
        <w:rPr>
          <w:i/>
          <w:iCs/>
        </w:rPr>
        <w:t>Urtra</w:t>
      </w:r>
      <w:proofErr w:type="spellEnd"/>
      <w:r w:rsidR="006530BA" w:rsidRPr="006530BA">
        <w:rPr>
          <w:i/>
          <w:iCs/>
        </w:rPr>
        <w:t>-Society</w:t>
      </w:r>
      <w:r w:rsidR="006530BA" w:rsidRPr="006530BA">
        <w:t xml:space="preserve"> und die Logik des</w:t>
      </w:r>
      <w:r w:rsidR="006530BA" w:rsidRPr="006530BA">
        <w:rPr>
          <w:i/>
          <w:iCs/>
        </w:rPr>
        <w:t xml:space="preserve"> </w:t>
      </w:r>
      <w:proofErr w:type="spellStart"/>
      <w:r w:rsidR="006530BA" w:rsidRPr="006530BA">
        <w:rPr>
          <w:i/>
          <w:iCs/>
        </w:rPr>
        <w:t>Zuhause</w:t>
      </w:r>
      <w:r w:rsidR="006530BA" w:rsidRPr="006530BA">
        <w:t>s</w:t>
      </w:r>
      <w:proofErr w:type="spellEnd"/>
    </w:p>
    <w:p w14:paraId="19F36711" w14:textId="77777777" w:rsidR="006900C3" w:rsidRDefault="006900C3" w:rsidP="00CA7BBA"/>
    <w:p w14:paraId="29C5C6D4" w14:textId="77777777" w:rsidR="009C0839" w:rsidRDefault="009C0839" w:rsidP="00CA7BBA">
      <w:proofErr w:type="spellStart"/>
      <w:r w:rsidRPr="009C0839">
        <w:t>Tabelle</w:t>
      </w:r>
      <w:proofErr w:type="spellEnd"/>
      <w:r w:rsidRPr="009C0839">
        <w:t xml:space="preserve"> 1: </w:t>
      </w:r>
      <w:proofErr w:type="spellStart"/>
      <w:r w:rsidRPr="009C0839">
        <w:t>Übersicht</w:t>
      </w:r>
      <w:proofErr w:type="spellEnd"/>
      <w:r w:rsidRPr="009C0839">
        <w:t xml:space="preserve"> </w:t>
      </w:r>
      <w:proofErr w:type="spellStart"/>
      <w:r w:rsidRPr="009C0839">
        <w:t>über</w:t>
      </w:r>
      <w:proofErr w:type="spellEnd"/>
      <w:r w:rsidRPr="009C0839">
        <w:t xml:space="preserve"> </w:t>
      </w:r>
      <w:proofErr w:type="spellStart"/>
      <w:r w:rsidRPr="009C0839">
        <w:t>Streitigkeiten</w:t>
      </w:r>
      <w:proofErr w:type="spellEnd"/>
      <w:r w:rsidRPr="009C0839">
        <w:t xml:space="preserve"> in </w:t>
      </w:r>
      <w:proofErr w:type="spellStart"/>
      <w:r w:rsidRPr="009C0839">
        <w:t>drei</w:t>
      </w:r>
      <w:proofErr w:type="spellEnd"/>
      <w:r w:rsidRPr="009C0839">
        <w:t xml:space="preserve"> </w:t>
      </w:r>
      <w:proofErr w:type="spellStart"/>
      <w:r w:rsidRPr="009C0839">
        <w:t>führenden</w:t>
      </w:r>
      <w:proofErr w:type="spellEnd"/>
      <w:r w:rsidRPr="009C0839">
        <w:t xml:space="preserve"> </w:t>
      </w:r>
      <w:proofErr w:type="spellStart"/>
      <w:r w:rsidRPr="009C0839">
        <w:t>Fällen</w:t>
      </w:r>
      <w:proofErr w:type="spellEnd"/>
      <w:r w:rsidRPr="009C0839">
        <w:t xml:space="preserve"> </w:t>
      </w:r>
      <w:proofErr w:type="spellStart"/>
      <w:r w:rsidRPr="009C0839">
        <w:t>zur</w:t>
      </w:r>
      <w:proofErr w:type="spellEnd"/>
      <w:r w:rsidRPr="009C0839">
        <w:t xml:space="preserve"> </w:t>
      </w:r>
      <w:proofErr w:type="spellStart"/>
      <w:r w:rsidRPr="009C0839">
        <w:t>Beendigung</w:t>
      </w:r>
      <w:proofErr w:type="spellEnd"/>
      <w:r w:rsidRPr="009C0839">
        <w:t xml:space="preserve"> von </w:t>
      </w:r>
      <w:proofErr w:type="spellStart"/>
      <w:r w:rsidRPr="009C0839">
        <w:t>Arbeitsverhältnissen</w:t>
      </w:r>
      <w:proofErr w:type="spellEnd"/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696"/>
        <w:gridCol w:w="2694"/>
        <w:gridCol w:w="2693"/>
        <w:gridCol w:w="2693"/>
      </w:tblGrid>
      <w:tr w:rsidR="006900C3" w:rsidRPr="003A57A3" w14:paraId="6D61DA6E" w14:textId="77777777" w:rsidTr="00741F7D">
        <w:tc>
          <w:tcPr>
            <w:tcW w:w="1696" w:type="dxa"/>
          </w:tcPr>
          <w:p w14:paraId="236969B7" w14:textId="77777777" w:rsidR="006900C3" w:rsidRPr="003A57A3" w:rsidRDefault="006900C3" w:rsidP="009C083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E095BE3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Fall 1</w:t>
            </w:r>
          </w:p>
        </w:tc>
        <w:tc>
          <w:tcPr>
            <w:tcW w:w="2693" w:type="dxa"/>
          </w:tcPr>
          <w:p w14:paraId="6816D51A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Fall 2</w:t>
            </w:r>
          </w:p>
        </w:tc>
        <w:tc>
          <w:tcPr>
            <w:tcW w:w="2693" w:type="dxa"/>
          </w:tcPr>
          <w:p w14:paraId="4EFA24C8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Fall 3</w:t>
            </w:r>
          </w:p>
        </w:tc>
      </w:tr>
      <w:tr w:rsidR="006900C3" w:rsidRPr="003A57A3" w14:paraId="6A91D8D8" w14:textId="77777777" w:rsidTr="00741F7D">
        <w:tc>
          <w:tcPr>
            <w:tcW w:w="1696" w:type="dxa"/>
          </w:tcPr>
          <w:p w14:paraId="5E059CA1" w14:textId="77777777" w:rsidR="006900C3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Name des Falls</w:t>
            </w:r>
          </w:p>
        </w:tc>
        <w:tc>
          <w:tcPr>
            <w:tcW w:w="2694" w:type="dxa"/>
          </w:tcPr>
          <w:p w14:paraId="1856B145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 xml:space="preserve">Nissan-Fall </w:t>
            </w:r>
            <w:proofErr w:type="spellStart"/>
            <w:r w:rsidRPr="009C0839">
              <w:rPr>
                <w:sz w:val="18"/>
                <w:szCs w:val="18"/>
              </w:rPr>
              <w:t>zur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Diskriminierung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aufgrund</w:t>
            </w:r>
            <w:proofErr w:type="spellEnd"/>
            <w:r w:rsidRPr="009C0839">
              <w:rPr>
                <w:sz w:val="18"/>
                <w:szCs w:val="18"/>
              </w:rPr>
              <w:t xml:space="preserve"> des </w:t>
            </w:r>
            <w:proofErr w:type="spellStart"/>
            <w:r w:rsidRPr="009C0839">
              <w:rPr>
                <w:sz w:val="18"/>
                <w:szCs w:val="18"/>
              </w:rPr>
              <w:t>Rentenalters</w:t>
            </w:r>
            <w:proofErr w:type="spellEnd"/>
          </w:p>
        </w:tc>
        <w:tc>
          <w:tcPr>
            <w:tcW w:w="2693" w:type="dxa"/>
          </w:tcPr>
          <w:p w14:paraId="50DB634E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Toyo-Oxygen-Fall</w:t>
            </w:r>
          </w:p>
        </w:tc>
        <w:tc>
          <w:tcPr>
            <w:tcW w:w="2693" w:type="dxa"/>
          </w:tcPr>
          <w:p w14:paraId="0B7D8CDE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Hitachi-Medico-Fall</w:t>
            </w:r>
          </w:p>
        </w:tc>
      </w:tr>
      <w:tr w:rsidR="00B614D4" w:rsidRPr="003A57A3" w14:paraId="0F2BC8D9" w14:textId="77777777" w:rsidTr="00741F7D">
        <w:tc>
          <w:tcPr>
            <w:tcW w:w="1696" w:type="dxa"/>
          </w:tcPr>
          <w:p w14:paraId="7838B925" w14:textId="77777777" w:rsidR="00B614D4" w:rsidRPr="003A57A3" w:rsidRDefault="009C0839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9C0839">
              <w:rPr>
                <w:sz w:val="18"/>
                <w:szCs w:val="18"/>
              </w:rPr>
              <w:t>Befragte</w:t>
            </w:r>
            <w:proofErr w:type="spellEnd"/>
          </w:p>
        </w:tc>
        <w:tc>
          <w:tcPr>
            <w:tcW w:w="2694" w:type="dxa"/>
          </w:tcPr>
          <w:p w14:paraId="3323C91D" w14:textId="77777777" w:rsidR="00B614D4" w:rsidRPr="003A57A3" w:rsidRDefault="009C0839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9C0839">
              <w:rPr>
                <w:sz w:val="18"/>
                <w:szCs w:val="18"/>
              </w:rPr>
              <w:t>Klägerin</w:t>
            </w:r>
            <w:proofErr w:type="spellEnd"/>
            <w:r w:rsidRPr="009C0839">
              <w:rPr>
                <w:sz w:val="18"/>
                <w:szCs w:val="18"/>
              </w:rPr>
              <w:t xml:space="preserve"> Frau X. Sie und </w:t>
            </w:r>
            <w:proofErr w:type="spellStart"/>
            <w:r w:rsidRPr="009C0839">
              <w:rPr>
                <w:sz w:val="18"/>
                <w:szCs w:val="18"/>
              </w:rPr>
              <w:t>ihr</w:t>
            </w:r>
            <w:proofErr w:type="spellEnd"/>
            <w:r w:rsidRPr="009C0839">
              <w:rPr>
                <w:sz w:val="18"/>
                <w:szCs w:val="18"/>
              </w:rPr>
              <w:t xml:space="preserve"> Ehemann </w:t>
            </w:r>
            <w:proofErr w:type="spellStart"/>
            <w:r w:rsidRPr="009C0839">
              <w:rPr>
                <w:sz w:val="18"/>
                <w:szCs w:val="18"/>
              </w:rPr>
              <w:t>wurden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im</w:t>
            </w:r>
            <w:proofErr w:type="spellEnd"/>
            <w:r w:rsidRPr="009C0839">
              <w:rPr>
                <w:sz w:val="18"/>
                <w:szCs w:val="18"/>
              </w:rPr>
              <w:t xml:space="preserve"> Alter von 30 Jahren </w:t>
            </w:r>
            <w:proofErr w:type="spellStart"/>
            <w:r w:rsidRPr="009C0839">
              <w:rPr>
                <w:sz w:val="18"/>
                <w:szCs w:val="18"/>
              </w:rPr>
              <w:t>gezielt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entlassen</w:t>
            </w:r>
            <w:proofErr w:type="spellEnd"/>
            <w:r w:rsidRPr="009C0839">
              <w:rPr>
                <w:sz w:val="18"/>
                <w:szCs w:val="18"/>
              </w:rPr>
              <w:t xml:space="preserve">. Sie </w:t>
            </w:r>
            <w:proofErr w:type="spellStart"/>
            <w:r w:rsidRPr="009C0839">
              <w:rPr>
                <w:sz w:val="18"/>
                <w:szCs w:val="18"/>
              </w:rPr>
              <w:t>haben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zwei</w:t>
            </w:r>
            <w:proofErr w:type="spellEnd"/>
            <w:r w:rsidRPr="009C0839">
              <w:rPr>
                <w:sz w:val="18"/>
                <w:szCs w:val="18"/>
              </w:rPr>
              <w:t xml:space="preserve"> Kinder.</w:t>
            </w:r>
          </w:p>
        </w:tc>
        <w:tc>
          <w:tcPr>
            <w:tcW w:w="2693" w:type="dxa"/>
          </w:tcPr>
          <w:p w14:paraId="7EE71CFF" w14:textId="77777777" w:rsidR="009C0839" w:rsidRPr="009C0839" w:rsidRDefault="009C0839" w:rsidP="009C0839">
            <w:pPr>
              <w:pStyle w:val="Listenabsatz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proofErr w:type="spellStart"/>
            <w:r w:rsidRPr="009C0839">
              <w:rPr>
                <w:sz w:val="18"/>
                <w:szCs w:val="18"/>
              </w:rPr>
              <w:t>Kläger</w:t>
            </w:r>
            <w:proofErr w:type="spellEnd"/>
            <w:r w:rsidRPr="009C0839">
              <w:rPr>
                <w:sz w:val="18"/>
                <w:szCs w:val="18"/>
              </w:rPr>
              <w:t xml:space="preserve"> Herr X. Er war </w:t>
            </w:r>
            <w:proofErr w:type="spellStart"/>
            <w:r w:rsidRPr="009C0839">
              <w:rPr>
                <w:sz w:val="18"/>
                <w:szCs w:val="18"/>
              </w:rPr>
              <w:t>einer</w:t>
            </w:r>
            <w:proofErr w:type="spellEnd"/>
            <w:r w:rsidRPr="009C0839">
              <w:rPr>
                <w:sz w:val="18"/>
                <w:szCs w:val="18"/>
              </w:rPr>
              <w:t xml:space="preserve"> von </w:t>
            </w:r>
            <w:proofErr w:type="spellStart"/>
            <w:r w:rsidRPr="009C0839">
              <w:rPr>
                <w:sz w:val="18"/>
                <w:szCs w:val="18"/>
              </w:rPr>
              <w:t>sechs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Personen</w:t>
            </w:r>
            <w:proofErr w:type="spellEnd"/>
            <w:r w:rsidRPr="009C0839">
              <w:rPr>
                <w:sz w:val="18"/>
                <w:szCs w:val="18"/>
              </w:rPr>
              <w:t xml:space="preserve">, die </w:t>
            </w:r>
            <w:proofErr w:type="spellStart"/>
            <w:r w:rsidRPr="009C0839">
              <w:rPr>
                <w:sz w:val="18"/>
                <w:szCs w:val="18"/>
              </w:rPr>
              <w:t>nach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Beendigung</w:t>
            </w:r>
            <w:proofErr w:type="spellEnd"/>
            <w:r w:rsidRPr="009C0839">
              <w:rPr>
                <w:sz w:val="18"/>
                <w:szCs w:val="18"/>
              </w:rPr>
              <w:t xml:space="preserve"> des </w:t>
            </w:r>
            <w:proofErr w:type="spellStart"/>
            <w:r w:rsidRPr="009C0839">
              <w:rPr>
                <w:sz w:val="18"/>
                <w:szCs w:val="18"/>
              </w:rPr>
              <w:t>Rechtsstreits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wieder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eingestellt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wurden</w:t>
            </w:r>
            <w:proofErr w:type="spellEnd"/>
            <w:r w:rsidRPr="009C0839">
              <w:rPr>
                <w:sz w:val="18"/>
                <w:szCs w:val="18"/>
              </w:rPr>
              <w:t xml:space="preserve">. Zum </w:t>
            </w:r>
            <w:proofErr w:type="spellStart"/>
            <w:r w:rsidRPr="009C0839">
              <w:rPr>
                <w:sz w:val="18"/>
                <w:szCs w:val="18"/>
              </w:rPr>
              <w:t>Zeitpunkt</w:t>
            </w:r>
            <w:proofErr w:type="spellEnd"/>
            <w:r w:rsidRPr="009C0839">
              <w:rPr>
                <w:sz w:val="18"/>
                <w:szCs w:val="18"/>
              </w:rPr>
              <w:t xml:space="preserve"> der </w:t>
            </w:r>
            <w:proofErr w:type="spellStart"/>
            <w:r w:rsidRPr="009C0839">
              <w:rPr>
                <w:sz w:val="18"/>
                <w:szCs w:val="18"/>
              </w:rPr>
              <w:t>Entlassung</w:t>
            </w:r>
            <w:proofErr w:type="spellEnd"/>
            <w:r w:rsidRPr="009C0839">
              <w:rPr>
                <w:sz w:val="18"/>
                <w:szCs w:val="18"/>
              </w:rPr>
              <w:t xml:space="preserve"> war er 31 Jahre alt.</w:t>
            </w:r>
          </w:p>
          <w:p w14:paraId="03505D13" w14:textId="77777777" w:rsidR="00B614D4" w:rsidRPr="003A57A3" w:rsidRDefault="009C0839" w:rsidP="009C0839">
            <w:pPr>
              <w:pStyle w:val="Listenabsatz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 xml:space="preserve">Herr A, </w:t>
            </w:r>
            <w:proofErr w:type="spellStart"/>
            <w:r w:rsidRPr="009C0839">
              <w:rPr>
                <w:sz w:val="18"/>
                <w:szCs w:val="18"/>
              </w:rPr>
              <w:t>ein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Gewerkschaftsfunktionär</w:t>
            </w:r>
            <w:proofErr w:type="spellEnd"/>
            <w:r w:rsidRPr="009C0839">
              <w:rPr>
                <w:sz w:val="18"/>
                <w:szCs w:val="18"/>
              </w:rPr>
              <w:t xml:space="preserve">, der Herrn X. in </w:t>
            </w:r>
            <w:proofErr w:type="spellStart"/>
            <w:r w:rsidRPr="009C0839">
              <w:rPr>
                <w:sz w:val="18"/>
                <w:szCs w:val="18"/>
              </w:rPr>
              <w:t>seinem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Rechtsstreit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weiterhin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lastRenderedPageBreak/>
              <w:t>unterstützte</w:t>
            </w:r>
            <w:proofErr w:type="spellEnd"/>
            <w:r w:rsidRPr="009C0839">
              <w:rPr>
                <w:sz w:val="18"/>
                <w:szCs w:val="18"/>
              </w:rPr>
              <w:t xml:space="preserve">. Zum </w:t>
            </w:r>
            <w:proofErr w:type="spellStart"/>
            <w:r w:rsidRPr="009C0839">
              <w:rPr>
                <w:sz w:val="18"/>
                <w:szCs w:val="18"/>
              </w:rPr>
              <w:t>Zeitpunkt</w:t>
            </w:r>
            <w:proofErr w:type="spellEnd"/>
            <w:r w:rsidRPr="009C0839">
              <w:rPr>
                <w:sz w:val="18"/>
                <w:szCs w:val="18"/>
              </w:rPr>
              <w:t xml:space="preserve"> der </w:t>
            </w:r>
            <w:proofErr w:type="spellStart"/>
            <w:r w:rsidRPr="009C0839">
              <w:rPr>
                <w:sz w:val="18"/>
                <w:szCs w:val="18"/>
              </w:rPr>
              <w:t>Entlassung</w:t>
            </w:r>
            <w:proofErr w:type="spellEnd"/>
            <w:r w:rsidRPr="009C0839">
              <w:rPr>
                <w:sz w:val="18"/>
                <w:szCs w:val="18"/>
              </w:rPr>
              <w:t xml:space="preserve"> war er 32 Jahre alt.</w:t>
            </w:r>
          </w:p>
        </w:tc>
        <w:tc>
          <w:tcPr>
            <w:tcW w:w="2693" w:type="dxa"/>
          </w:tcPr>
          <w:p w14:paraId="3D0F4DE3" w14:textId="77777777" w:rsidR="00B614D4" w:rsidRPr="003A57A3" w:rsidRDefault="009C0839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9C0839">
              <w:rPr>
                <w:sz w:val="18"/>
                <w:szCs w:val="18"/>
              </w:rPr>
              <w:lastRenderedPageBreak/>
              <w:t>Kläger</w:t>
            </w:r>
            <w:proofErr w:type="spellEnd"/>
            <w:r w:rsidRPr="009C0839">
              <w:rPr>
                <w:sz w:val="18"/>
                <w:szCs w:val="18"/>
              </w:rPr>
              <w:t xml:space="preserve"> Herr X. Zum </w:t>
            </w:r>
            <w:proofErr w:type="spellStart"/>
            <w:r w:rsidRPr="009C0839">
              <w:rPr>
                <w:sz w:val="18"/>
                <w:szCs w:val="18"/>
              </w:rPr>
              <w:t>Zeitpunkt</w:t>
            </w:r>
            <w:proofErr w:type="spellEnd"/>
            <w:r w:rsidRPr="009C0839">
              <w:rPr>
                <w:sz w:val="18"/>
                <w:szCs w:val="18"/>
              </w:rPr>
              <w:t xml:space="preserve"> der </w:t>
            </w:r>
            <w:proofErr w:type="spellStart"/>
            <w:r w:rsidRPr="009C0839">
              <w:rPr>
                <w:sz w:val="18"/>
                <w:szCs w:val="18"/>
              </w:rPr>
              <w:t>Entlassung</w:t>
            </w:r>
            <w:proofErr w:type="spellEnd"/>
            <w:r w:rsidRPr="009C0839">
              <w:rPr>
                <w:sz w:val="18"/>
                <w:szCs w:val="18"/>
              </w:rPr>
              <w:t xml:space="preserve"> war er 26 Jahre alt und </w:t>
            </w:r>
            <w:proofErr w:type="spellStart"/>
            <w:r w:rsidRPr="009C0839">
              <w:rPr>
                <w:sz w:val="18"/>
                <w:szCs w:val="18"/>
              </w:rPr>
              <w:t>unverheiratet</w:t>
            </w:r>
            <w:proofErr w:type="spellEnd"/>
            <w:r w:rsidRPr="009C0839">
              <w:rPr>
                <w:sz w:val="18"/>
                <w:szCs w:val="18"/>
              </w:rPr>
              <w:t xml:space="preserve">. </w:t>
            </w:r>
            <w:proofErr w:type="spellStart"/>
            <w:r w:rsidRPr="009C0839">
              <w:rPr>
                <w:sz w:val="18"/>
                <w:szCs w:val="18"/>
              </w:rPr>
              <w:t>Während</w:t>
            </w:r>
            <w:proofErr w:type="spellEnd"/>
            <w:r w:rsidRPr="009C0839">
              <w:rPr>
                <w:sz w:val="18"/>
                <w:szCs w:val="18"/>
              </w:rPr>
              <w:t xml:space="preserve"> des </w:t>
            </w:r>
            <w:proofErr w:type="spellStart"/>
            <w:r w:rsidRPr="009C0839">
              <w:rPr>
                <w:sz w:val="18"/>
                <w:szCs w:val="18"/>
              </w:rPr>
              <w:t>Rechtsstreits</w:t>
            </w:r>
            <w:proofErr w:type="spellEnd"/>
            <w:r w:rsidRPr="009C0839">
              <w:rPr>
                <w:sz w:val="18"/>
                <w:szCs w:val="18"/>
              </w:rPr>
              <w:t xml:space="preserve"> </w:t>
            </w:r>
            <w:proofErr w:type="spellStart"/>
            <w:r w:rsidRPr="009C0839">
              <w:rPr>
                <w:sz w:val="18"/>
                <w:szCs w:val="18"/>
              </w:rPr>
              <w:t>heiratete</w:t>
            </w:r>
            <w:proofErr w:type="spellEnd"/>
            <w:r w:rsidRPr="009C0839">
              <w:rPr>
                <w:sz w:val="18"/>
                <w:szCs w:val="18"/>
              </w:rPr>
              <w:t xml:space="preserve"> er und hat </w:t>
            </w:r>
            <w:proofErr w:type="spellStart"/>
            <w:r w:rsidRPr="009C0839">
              <w:rPr>
                <w:sz w:val="18"/>
                <w:szCs w:val="18"/>
              </w:rPr>
              <w:t>zwei</w:t>
            </w:r>
            <w:proofErr w:type="spellEnd"/>
            <w:r w:rsidRPr="009C0839">
              <w:rPr>
                <w:sz w:val="18"/>
                <w:szCs w:val="18"/>
              </w:rPr>
              <w:t xml:space="preserve"> Kinder.</w:t>
            </w:r>
          </w:p>
        </w:tc>
      </w:tr>
      <w:tr w:rsidR="006900C3" w:rsidRPr="003A57A3" w14:paraId="480AFA10" w14:textId="77777777" w:rsidTr="00741F7D">
        <w:tc>
          <w:tcPr>
            <w:tcW w:w="1696" w:type="dxa"/>
          </w:tcPr>
          <w:p w14:paraId="1DC4ECF9" w14:textId="77777777" w:rsidR="009C0839" w:rsidRPr="003A57A3" w:rsidRDefault="009C0839" w:rsidP="009C0839">
            <w:pPr>
              <w:jc w:val="left"/>
              <w:rPr>
                <w:sz w:val="18"/>
                <w:szCs w:val="18"/>
              </w:rPr>
            </w:pPr>
            <w:r w:rsidRPr="009C0839">
              <w:rPr>
                <w:sz w:val="18"/>
                <w:szCs w:val="18"/>
              </w:rPr>
              <w:t>Art des Falles</w:t>
            </w:r>
          </w:p>
        </w:tc>
        <w:tc>
          <w:tcPr>
            <w:tcW w:w="2694" w:type="dxa"/>
          </w:tcPr>
          <w:p w14:paraId="26C3D284" w14:textId="77777777" w:rsidR="006900C3" w:rsidRDefault="004845F7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2D3E1A">
              <w:rPr>
                <w:sz w:val="18"/>
                <w:szCs w:val="18"/>
              </w:rPr>
              <w:t>wirtschaftliche</w:t>
            </w:r>
            <w:proofErr w:type="spellEnd"/>
            <w:r w:rsidRPr="002D3E1A">
              <w:rPr>
                <w:sz w:val="18"/>
                <w:szCs w:val="18"/>
              </w:rPr>
              <w:t xml:space="preserve"> </w:t>
            </w:r>
            <w:proofErr w:type="spellStart"/>
            <w:r w:rsidRPr="002D3E1A">
              <w:rPr>
                <w:sz w:val="18"/>
                <w:szCs w:val="18"/>
              </w:rPr>
              <w:t>Entlassung</w:t>
            </w:r>
            <w:proofErr w:type="spellEnd"/>
            <w:r w:rsidR="006530BA">
              <w:rPr>
                <w:rFonts w:hint="eastAsia"/>
                <w:sz w:val="18"/>
                <w:szCs w:val="18"/>
              </w:rPr>
              <w:t xml:space="preserve"> und</w:t>
            </w:r>
          </w:p>
          <w:p w14:paraId="416FE56C" w14:textId="77777777" w:rsidR="004845F7" w:rsidRDefault="004845F7" w:rsidP="004845F7">
            <w:pPr>
              <w:jc w:val="left"/>
              <w:rPr>
                <w:sz w:val="18"/>
                <w:szCs w:val="18"/>
              </w:rPr>
            </w:pPr>
            <w:proofErr w:type="spellStart"/>
            <w:r w:rsidRPr="004845F7">
              <w:rPr>
                <w:sz w:val="18"/>
                <w:szCs w:val="18"/>
              </w:rPr>
              <w:t>Entlassung</w:t>
            </w:r>
            <w:proofErr w:type="spellEnd"/>
            <w:r w:rsidRPr="004845F7">
              <w:rPr>
                <w:sz w:val="18"/>
                <w:szCs w:val="18"/>
              </w:rPr>
              <w:t xml:space="preserve"> </w:t>
            </w:r>
            <w:proofErr w:type="spellStart"/>
            <w:r w:rsidRPr="004845F7">
              <w:rPr>
                <w:sz w:val="18"/>
                <w:szCs w:val="18"/>
              </w:rPr>
              <w:t>aufgrund</w:t>
            </w:r>
            <w:proofErr w:type="spellEnd"/>
            <w:r w:rsidRPr="004845F7">
              <w:rPr>
                <w:sz w:val="18"/>
                <w:szCs w:val="18"/>
              </w:rPr>
              <w:t xml:space="preserve"> des </w:t>
            </w:r>
            <w:proofErr w:type="spellStart"/>
            <w:r w:rsidRPr="004845F7">
              <w:rPr>
                <w:sz w:val="18"/>
                <w:szCs w:val="18"/>
              </w:rPr>
              <w:t>Erreichens</w:t>
            </w:r>
            <w:proofErr w:type="spellEnd"/>
            <w:r w:rsidRPr="004845F7">
              <w:rPr>
                <w:sz w:val="18"/>
                <w:szCs w:val="18"/>
              </w:rPr>
              <w:t xml:space="preserve"> des </w:t>
            </w:r>
            <w:proofErr w:type="spellStart"/>
            <w:r w:rsidRPr="004845F7">
              <w:rPr>
                <w:sz w:val="18"/>
                <w:szCs w:val="18"/>
              </w:rPr>
              <w:t>Rentenalters</w:t>
            </w:r>
            <w:proofErr w:type="spellEnd"/>
            <w:r w:rsidRPr="004845F7">
              <w:rPr>
                <w:sz w:val="18"/>
                <w:szCs w:val="18"/>
              </w:rPr>
              <w:t xml:space="preserve"> </w:t>
            </w:r>
            <w:proofErr w:type="spellStart"/>
            <w:r w:rsidRPr="004845F7">
              <w:rPr>
                <w:sz w:val="18"/>
                <w:szCs w:val="18"/>
              </w:rPr>
              <w:t>im</w:t>
            </w:r>
            <w:proofErr w:type="spellEnd"/>
            <w:r w:rsidRPr="004845F7">
              <w:rPr>
                <w:sz w:val="18"/>
                <w:szCs w:val="18"/>
              </w:rPr>
              <w:t xml:space="preserve"> Rahmen </w:t>
            </w:r>
            <w:proofErr w:type="spellStart"/>
            <w:r w:rsidRPr="004845F7">
              <w:rPr>
                <w:sz w:val="18"/>
                <w:szCs w:val="18"/>
              </w:rPr>
              <w:t>eines</w:t>
            </w:r>
            <w:proofErr w:type="spellEnd"/>
            <w:r w:rsidRPr="004845F7">
              <w:rPr>
                <w:sz w:val="18"/>
                <w:szCs w:val="18"/>
              </w:rPr>
              <w:t xml:space="preserve"> </w:t>
            </w:r>
            <w:proofErr w:type="spellStart"/>
            <w:r w:rsidRPr="004845F7">
              <w:rPr>
                <w:sz w:val="18"/>
                <w:szCs w:val="18"/>
              </w:rPr>
              <w:t>geschlechtsspezifischen</w:t>
            </w:r>
            <w:proofErr w:type="spellEnd"/>
            <w:r w:rsidRPr="004845F7">
              <w:rPr>
                <w:sz w:val="18"/>
                <w:szCs w:val="18"/>
              </w:rPr>
              <w:t xml:space="preserve"> </w:t>
            </w:r>
            <w:proofErr w:type="spellStart"/>
            <w:r w:rsidRPr="004845F7">
              <w:rPr>
                <w:sz w:val="18"/>
                <w:szCs w:val="18"/>
              </w:rPr>
              <w:t>Rentensystems</w:t>
            </w:r>
            <w:proofErr w:type="spellEnd"/>
          </w:p>
          <w:p w14:paraId="7CC14768" w14:textId="77777777" w:rsidR="004845F7" w:rsidRPr="003A57A3" w:rsidRDefault="004845F7" w:rsidP="009C083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DDD658E" w14:textId="77777777" w:rsidR="002D3E1A" w:rsidRPr="003A57A3" w:rsidRDefault="002D3E1A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2D3E1A">
              <w:rPr>
                <w:sz w:val="18"/>
                <w:szCs w:val="18"/>
              </w:rPr>
              <w:t>wirtschaftliche</w:t>
            </w:r>
            <w:proofErr w:type="spellEnd"/>
            <w:r w:rsidRPr="002D3E1A">
              <w:rPr>
                <w:sz w:val="18"/>
                <w:szCs w:val="18"/>
              </w:rPr>
              <w:t xml:space="preserve"> </w:t>
            </w:r>
            <w:proofErr w:type="spellStart"/>
            <w:r w:rsidRPr="002D3E1A">
              <w:rPr>
                <w:sz w:val="18"/>
                <w:szCs w:val="18"/>
              </w:rPr>
              <w:t>Entlassung</w:t>
            </w:r>
            <w:proofErr w:type="spellEnd"/>
          </w:p>
        </w:tc>
        <w:tc>
          <w:tcPr>
            <w:tcW w:w="2693" w:type="dxa"/>
          </w:tcPr>
          <w:p w14:paraId="518DCD54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Nichtverlängerung</w:t>
            </w:r>
            <w:proofErr w:type="spellEnd"/>
            <w:r w:rsidRPr="00CB7413">
              <w:rPr>
                <w:sz w:val="18"/>
                <w:szCs w:val="18"/>
              </w:rPr>
              <w:t xml:space="preserve"> des </w:t>
            </w:r>
            <w:proofErr w:type="spellStart"/>
            <w:r w:rsidRPr="00CB7413">
              <w:rPr>
                <w:sz w:val="18"/>
                <w:szCs w:val="18"/>
              </w:rPr>
              <w:t>Arbeitsvertrags</w:t>
            </w:r>
            <w:proofErr w:type="spellEnd"/>
          </w:p>
        </w:tc>
      </w:tr>
      <w:tr w:rsidR="006900C3" w:rsidRPr="003A57A3" w14:paraId="3EA1E576" w14:textId="77777777" w:rsidTr="00741F7D">
        <w:tc>
          <w:tcPr>
            <w:tcW w:w="1696" w:type="dxa"/>
          </w:tcPr>
          <w:p w14:paraId="68281CE3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Bemerkenswerte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Urteile</w:t>
            </w:r>
            <w:proofErr w:type="spellEnd"/>
            <w:r w:rsidRPr="00CB7413">
              <w:rPr>
                <w:sz w:val="18"/>
                <w:szCs w:val="18"/>
              </w:rPr>
              <w:t xml:space="preserve"> in </w:t>
            </w:r>
            <w:proofErr w:type="spellStart"/>
            <w:r w:rsidRPr="00CB7413">
              <w:rPr>
                <w:sz w:val="18"/>
                <w:szCs w:val="18"/>
              </w:rPr>
              <w:t>Leitfällen</w:t>
            </w:r>
            <w:proofErr w:type="spellEnd"/>
            <w:r w:rsidRPr="00CB7413">
              <w:rPr>
                <w:sz w:val="18"/>
                <w:szCs w:val="18"/>
              </w:rPr>
              <w:t xml:space="preserve"> (A)</w:t>
            </w:r>
          </w:p>
        </w:tc>
        <w:tc>
          <w:tcPr>
            <w:tcW w:w="2694" w:type="dxa"/>
          </w:tcPr>
          <w:p w14:paraId="65E931F0" w14:textId="77777777" w:rsidR="00CB7413" w:rsidRPr="00CB741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Urteil</w:t>
            </w:r>
            <w:proofErr w:type="spellEnd"/>
            <w:r w:rsidRPr="00CB7413">
              <w:rPr>
                <w:sz w:val="18"/>
                <w:szCs w:val="18"/>
              </w:rPr>
              <w:t xml:space="preserve"> des </w:t>
            </w:r>
            <w:proofErr w:type="spellStart"/>
            <w:r w:rsidRPr="00CB7413">
              <w:rPr>
                <w:sz w:val="18"/>
                <w:szCs w:val="18"/>
              </w:rPr>
              <w:t>Obersten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Gerichtshofs</w:t>
            </w:r>
            <w:proofErr w:type="spellEnd"/>
          </w:p>
          <w:p w14:paraId="3E2DBF98" w14:textId="77777777" w:rsidR="00CB7413" w:rsidRPr="003A57A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Entlassung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ungültig</w:t>
            </w:r>
            <w:proofErr w:type="spellEnd"/>
          </w:p>
        </w:tc>
        <w:tc>
          <w:tcPr>
            <w:tcW w:w="2693" w:type="dxa"/>
          </w:tcPr>
          <w:p w14:paraId="7C1C0A46" w14:textId="77777777" w:rsidR="00CB7413" w:rsidRPr="00CB741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Urteil</w:t>
            </w:r>
            <w:proofErr w:type="spellEnd"/>
            <w:r w:rsidRPr="00CB7413">
              <w:rPr>
                <w:sz w:val="18"/>
                <w:szCs w:val="18"/>
              </w:rPr>
              <w:t xml:space="preserve"> des </w:t>
            </w:r>
            <w:proofErr w:type="spellStart"/>
            <w:r w:rsidRPr="00CB7413">
              <w:rPr>
                <w:sz w:val="18"/>
                <w:szCs w:val="18"/>
              </w:rPr>
              <w:t>Obersten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Gerichtshofs</w:t>
            </w:r>
            <w:proofErr w:type="spellEnd"/>
            <w:r w:rsidRPr="00CB7413">
              <w:rPr>
                <w:sz w:val="18"/>
                <w:szCs w:val="18"/>
              </w:rPr>
              <w:t xml:space="preserve"> von Tokio</w:t>
            </w:r>
          </w:p>
          <w:p w14:paraId="5AC31A63" w14:textId="77777777" w:rsidR="006900C3" w:rsidRPr="003A57A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Entlassung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gültig</w:t>
            </w:r>
            <w:proofErr w:type="spellEnd"/>
          </w:p>
        </w:tc>
        <w:tc>
          <w:tcPr>
            <w:tcW w:w="2693" w:type="dxa"/>
          </w:tcPr>
          <w:p w14:paraId="09D824A8" w14:textId="77777777" w:rsidR="00CB7413" w:rsidRPr="00CB741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Urteil</w:t>
            </w:r>
            <w:proofErr w:type="spellEnd"/>
            <w:r w:rsidRPr="00CB7413">
              <w:rPr>
                <w:sz w:val="18"/>
                <w:szCs w:val="18"/>
              </w:rPr>
              <w:t xml:space="preserve"> des </w:t>
            </w:r>
            <w:proofErr w:type="spellStart"/>
            <w:r w:rsidRPr="00CB7413">
              <w:rPr>
                <w:sz w:val="18"/>
                <w:szCs w:val="18"/>
              </w:rPr>
              <w:t>Obersten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Gerichtshofs</w:t>
            </w:r>
            <w:proofErr w:type="spellEnd"/>
          </w:p>
          <w:p w14:paraId="4402E898" w14:textId="77777777" w:rsidR="006900C3" w:rsidRPr="003A57A3" w:rsidRDefault="00CB7413" w:rsidP="00CB7413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Entlassung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gültig</w:t>
            </w:r>
            <w:proofErr w:type="spellEnd"/>
          </w:p>
        </w:tc>
      </w:tr>
      <w:tr w:rsidR="006900C3" w:rsidRPr="003A57A3" w14:paraId="646D3061" w14:textId="77777777" w:rsidTr="00741F7D">
        <w:tc>
          <w:tcPr>
            <w:tcW w:w="1696" w:type="dxa"/>
          </w:tcPr>
          <w:p w14:paraId="63ECBC54" w14:textId="77777777" w:rsidR="00046BCB" w:rsidRPr="003A57A3" w:rsidRDefault="00CB7413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Zeitraum</w:t>
            </w:r>
            <w:proofErr w:type="spellEnd"/>
            <w:r w:rsidRPr="00CB7413">
              <w:rPr>
                <w:sz w:val="18"/>
                <w:szCs w:val="18"/>
              </w:rPr>
              <w:t xml:space="preserve"> von </w:t>
            </w:r>
            <w:proofErr w:type="spellStart"/>
            <w:r w:rsidRPr="00CB7413">
              <w:rPr>
                <w:sz w:val="18"/>
                <w:szCs w:val="18"/>
              </w:rPr>
              <w:t>oben</w:t>
            </w:r>
            <w:proofErr w:type="spellEnd"/>
            <w:r w:rsidRPr="00CB7413">
              <w:rPr>
                <w:sz w:val="18"/>
                <w:szCs w:val="18"/>
              </w:rPr>
              <w:t xml:space="preserve"> (A)</w:t>
            </w:r>
          </w:p>
        </w:tc>
        <w:tc>
          <w:tcPr>
            <w:tcW w:w="2694" w:type="dxa"/>
          </w:tcPr>
          <w:p w14:paraId="0C01C1E7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24. März 1981</w:t>
            </w:r>
          </w:p>
        </w:tc>
        <w:tc>
          <w:tcPr>
            <w:tcW w:w="2693" w:type="dxa"/>
          </w:tcPr>
          <w:p w14:paraId="3A787729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29. Oktober 1979</w:t>
            </w:r>
          </w:p>
        </w:tc>
        <w:tc>
          <w:tcPr>
            <w:tcW w:w="2693" w:type="dxa"/>
          </w:tcPr>
          <w:p w14:paraId="3A803B3C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4. Dezember 1981</w:t>
            </w:r>
          </w:p>
        </w:tc>
      </w:tr>
      <w:tr w:rsidR="006900C3" w:rsidRPr="003A57A3" w14:paraId="7D8C6EB1" w14:textId="77777777" w:rsidTr="00741F7D">
        <w:tc>
          <w:tcPr>
            <w:tcW w:w="1696" w:type="dxa"/>
          </w:tcPr>
          <w:p w14:paraId="4BE5F34C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 xml:space="preserve">Datum der </w:t>
            </w:r>
            <w:proofErr w:type="spellStart"/>
            <w:r w:rsidRPr="00CB7413">
              <w:rPr>
                <w:sz w:val="18"/>
                <w:szCs w:val="18"/>
              </w:rPr>
              <w:t>Entlassung</w:t>
            </w:r>
            <w:proofErr w:type="spellEnd"/>
          </w:p>
        </w:tc>
        <w:tc>
          <w:tcPr>
            <w:tcW w:w="2694" w:type="dxa"/>
          </w:tcPr>
          <w:p w14:paraId="4FB38054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12. November 1949</w:t>
            </w:r>
          </w:p>
        </w:tc>
        <w:tc>
          <w:tcPr>
            <w:tcW w:w="2693" w:type="dxa"/>
          </w:tcPr>
          <w:p w14:paraId="344EE890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15. August 1970</w:t>
            </w:r>
          </w:p>
        </w:tc>
        <w:tc>
          <w:tcPr>
            <w:tcW w:w="2693" w:type="dxa"/>
          </w:tcPr>
          <w:p w14:paraId="523CB22E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20. Oktober 1970</w:t>
            </w:r>
          </w:p>
        </w:tc>
      </w:tr>
      <w:tr w:rsidR="006900C3" w:rsidRPr="003A57A3" w14:paraId="42B7B9DE" w14:textId="77777777" w:rsidTr="00741F7D">
        <w:tc>
          <w:tcPr>
            <w:tcW w:w="1696" w:type="dxa"/>
          </w:tcPr>
          <w:p w14:paraId="0F7F704B" w14:textId="77777777" w:rsidR="006900C3" w:rsidRPr="003A57A3" w:rsidRDefault="00CB7413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CB7413">
              <w:rPr>
                <w:sz w:val="18"/>
                <w:szCs w:val="18"/>
              </w:rPr>
              <w:t>Zeitraum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zwischen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Entlassung</w:t>
            </w:r>
            <w:proofErr w:type="spellEnd"/>
            <w:r w:rsidRPr="00CB7413">
              <w:rPr>
                <w:sz w:val="18"/>
                <w:szCs w:val="18"/>
              </w:rPr>
              <w:t xml:space="preserve"> und </w:t>
            </w:r>
            <w:proofErr w:type="spellStart"/>
            <w:r w:rsidRPr="00CB7413">
              <w:rPr>
                <w:sz w:val="18"/>
                <w:szCs w:val="18"/>
              </w:rPr>
              <w:t>oben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genanntem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Urtei</w:t>
            </w:r>
            <w:proofErr w:type="spellEnd"/>
          </w:p>
        </w:tc>
        <w:tc>
          <w:tcPr>
            <w:tcW w:w="2694" w:type="dxa"/>
          </w:tcPr>
          <w:p w14:paraId="2703A79E" w14:textId="77777777" w:rsidR="006900C3" w:rsidRPr="0069716F" w:rsidRDefault="00CB7413" w:rsidP="009C0839">
            <w:pPr>
              <w:jc w:val="left"/>
              <w:rPr>
                <w:sz w:val="18"/>
                <w:szCs w:val="18"/>
                <w:highlight w:val="lightGray"/>
              </w:rPr>
            </w:pPr>
            <w:r w:rsidRPr="0069716F">
              <w:rPr>
                <w:sz w:val="18"/>
                <w:szCs w:val="18"/>
                <w:highlight w:val="lightGray"/>
              </w:rPr>
              <w:t xml:space="preserve">31 Jahre und 4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Monate</w:t>
            </w:r>
            <w:proofErr w:type="spellEnd"/>
          </w:p>
        </w:tc>
        <w:tc>
          <w:tcPr>
            <w:tcW w:w="2693" w:type="dxa"/>
          </w:tcPr>
          <w:p w14:paraId="52421EFB" w14:textId="77777777" w:rsidR="006900C3" w:rsidRPr="0069716F" w:rsidRDefault="00CB7413" w:rsidP="009C0839">
            <w:pPr>
              <w:jc w:val="left"/>
              <w:rPr>
                <w:sz w:val="18"/>
                <w:szCs w:val="18"/>
                <w:highlight w:val="lightGray"/>
              </w:rPr>
            </w:pPr>
            <w:r w:rsidRPr="0069716F">
              <w:rPr>
                <w:sz w:val="18"/>
                <w:szCs w:val="18"/>
                <w:highlight w:val="lightGray"/>
              </w:rPr>
              <w:t xml:space="preserve">9 Jahre und 2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Monate</w:t>
            </w:r>
            <w:proofErr w:type="spellEnd"/>
          </w:p>
        </w:tc>
        <w:tc>
          <w:tcPr>
            <w:tcW w:w="2693" w:type="dxa"/>
          </w:tcPr>
          <w:p w14:paraId="4DAB6111" w14:textId="77777777" w:rsidR="006900C3" w:rsidRPr="0069716F" w:rsidRDefault="00CB7413" w:rsidP="009C0839">
            <w:pPr>
              <w:jc w:val="left"/>
              <w:rPr>
                <w:sz w:val="18"/>
                <w:szCs w:val="18"/>
                <w:highlight w:val="lightGray"/>
              </w:rPr>
            </w:pPr>
            <w:r w:rsidRPr="0069716F">
              <w:rPr>
                <w:sz w:val="18"/>
                <w:szCs w:val="18"/>
                <w:highlight w:val="lightGray"/>
              </w:rPr>
              <w:t>11 Jahre und 1 Monat</w:t>
            </w:r>
          </w:p>
        </w:tc>
      </w:tr>
      <w:tr w:rsidR="00DC026E" w:rsidRPr="003A57A3" w14:paraId="0FA2862D" w14:textId="77777777" w:rsidTr="00741F7D">
        <w:tc>
          <w:tcPr>
            <w:tcW w:w="1696" w:type="dxa"/>
          </w:tcPr>
          <w:p w14:paraId="1D625AAF" w14:textId="77777777" w:rsidR="00DC026E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 xml:space="preserve">Nach </w:t>
            </w:r>
            <w:proofErr w:type="spellStart"/>
            <w:r w:rsidRPr="00CB7413">
              <w:rPr>
                <w:sz w:val="18"/>
                <w:szCs w:val="18"/>
              </w:rPr>
              <w:t>oben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genanntem</w:t>
            </w:r>
            <w:proofErr w:type="spellEnd"/>
            <w:r w:rsidRPr="00CB7413">
              <w:rPr>
                <w:sz w:val="18"/>
                <w:szCs w:val="18"/>
              </w:rPr>
              <w:t xml:space="preserve"> (A), </w:t>
            </w:r>
            <w:proofErr w:type="spellStart"/>
            <w:r w:rsidRPr="00CB7413">
              <w:rPr>
                <w:sz w:val="18"/>
                <w:szCs w:val="18"/>
              </w:rPr>
              <w:t>vor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gerichtlichen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oder</w:t>
            </w:r>
            <w:proofErr w:type="spellEnd"/>
            <w:r w:rsidRPr="00CB7413">
              <w:rPr>
                <w:sz w:val="18"/>
                <w:szCs w:val="18"/>
              </w:rPr>
              <w:t xml:space="preserve"> quasi-</w:t>
            </w:r>
            <w:proofErr w:type="spellStart"/>
            <w:r w:rsidRPr="00CB7413">
              <w:rPr>
                <w:sz w:val="18"/>
                <w:szCs w:val="18"/>
              </w:rPr>
              <w:t>gerichtlichen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Instanzen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angefochten</w:t>
            </w:r>
            <w:proofErr w:type="spellEnd"/>
            <w:r w:rsidRPr="00CB7413">
              <w:rPr>
                <w:sz w:val="18"/>
                <w:szCs w:val="18"/>
              </w:rPr>
              <w:t>?</w:t>
            </w:r>
          </w:p>
        </w:tc>
        <w:tc>
          <w:tcPr>
            <w:tcW w:w="2694" w:type="dxa"/>
          </w:tcPr>
          <w:p w14:paraId="613DA7AA" w14:textId="77777777" w:rsidR="00DC026E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>Nein</w:t>
            </w:r>
          </w:p>
        </w:tc>
        <w:tc>
          <w:tcPr>
            <w:tcW w:w="2693" w:type="dxa"/>
          </w:tcPr>
          <w:p w14:paraId="15561886" w14:textId="77777777" w:rsidR="00DC026E" w:rsidRPr="003A57A3" w:rsidRDefault="00CB7413" w:rsidP="009C0839">
            <w:pPr>
              <w:jc w:val="left"/>
              <w:rPr>
                <w:sz w:val="18"/>
                <w:szCs w:val="18"/>
              </w:rPr>
            </w:pPr>
            <w:r w:rsidRPr="00CB7413">
              <w:rPr>
                <w:sz w:val="18"/>
                <w:szCs w:val="18"/>
              </w:rPr>
              <w:t xml:space="preserve">Nach dem </w:t>
            </w:r>
            <w:proofErr w:type="spellStart"/>
            <w:r w:rsidRPr="00CB7413">
              <w:rPr>
                <w:sz w:val="18"/>
                <w:szCs w:val="18"/>
              </w:rPr>
              <w:t>Urteil</w:t>
            </w:r>
            <w:proofErr w:type="spellEnd"/>
            <w:r w:rsidRPr="00CB7413">
              <w:rPr>
                <w:sz w:val="18"/>
                <w:szCs w:val="18"/>
              </w:rPr>
              <w:t xml:space="preserve"> des </w:t>
            </w:r>
            <w:proofErr w:type="spellStart"/>
            <w:r w:rsidRPr="00CB7413">
              <w:rPr>
                <w:sz w:val="18"/>
                <w:szCs w:val="18"/>
              </w:rPr>
              <w:t>Obersten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Gerichtshofs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vor</w:t>
            </w:r>
            <w:proofErr w:type="spellEnd"/>
            <w:r w:rsidRPr="00CB7413">
              <w:rPr>
                <w:sz w:val="18"/>
                <w:szCs w:val="18"/>
              </w:rPr>
              <w:t xml:space="preserve"> dem </w:t>
            </w:r>
            <w:proofErr w:type="spellStart"/>
            <w:r w:rsidRPr="00CB7413">
              <w:rPr>
                <w:sz w:val="18"/>
                <w:szCs w:val="18"/>
              </w:rPr>
              <w:t>Obersten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Gerichtshof</w:t>
            </w:r>
            <w:proofErr w:type="spellEnd"/>
            <w:r w:rsidRPr="00CB7413">
              <w:rPr>
                <w:sz w:val="18"/>
                <w:szCs w:val="18"/>
              </w:rPr>
              <w:t xml:space="preserve">, der </w:t>
            </w:r>
            <w:proofErr w:type="spellStart"/>
            <w:r w:rsidRPr="00CB7413">
              <w:rPr>
                <w:sz w:val="18"/>
                <w:szCs w:val="18"/>
              </w:rPr>
              <w:t>regionalen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Arbeitskommission</w:t>
            </w:r>
            <w:proofErr w:type="spellEnd"/>
            <w:r w:rsidRPr="00CB7413">
              <w:rPr>
                <w:sz w:val="18"/>
                <w:szCs w:val="18"/>
              </w:rPr>
              <w:t xml:space="preserve"> und der </w:t>
            </w:r>
            <w:proofErr w:type="spellStart"/>
            <w:r w:rsidRPr="00CB7413">
              <w:rPr>
                <w:sz w:val="18"/>
                <w:szCs w:val="18"/>
              </w:rPr>
              <w:t>zentralen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Arbeitskommission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angefochten</w:t>
            </w:r>
            <w:proofErr w:type="spellEnd"/>
            <w:r w:rsidRPr="00CB7413">
              <w:rPr>
                <w:sz w:val="18"/>
                <w:szCs w:val="18"/>
              </w:rPr>
              <w:t xml:space="preserve">. Am 26. Dezember 1984 </w:t>
            </w:r>
            <w:proofErr w:type="spellStart"/>
            <w:r w:rsidRPr="00CB7413">
              <w:rPr>
                <w:sz w:val="18"/>
                <w:szCs w:val="18"/>
              </w:rPr>
              <w:t>vor</w:t>
            </w:r>
            <w:proofErr w:type="spellEnd"/>
            <w:r w:rsidRPr="00CB7413">
              <w:rPr>
                <w:sz w:val="18"/>
                <w:szCs w:val="18"/>
              </w:rPr>
              <w:t xml:space="preserve"> der </w:t>
            </w:r>
            <w:proofErr w:type="spellStart"/>
            <w:r w:rsidRPr="00CB7413">
              <w:rPr>
                <w:sz w:val="18"/>
                <w:szCs w:val="18"/>
              </w:rPr>
              <w:t>zentralen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Arbeitskommission</w:t>
            </w:r>
            <w:proofErr w:type="spellEnd"/>
            <w:r w:rsidRPr="00CB7413">
              <w:rPr>
                <w:sz w:val="18"/>
                <w:szCs w:val="18"/>
              </w:rPr>
              <w:t xml:space="preserve"> </w:t>
            </w:r>
            <w:proofErr w:type="spellStart"/>
            <w:r w:rsidRPr="00CB7413">
              <w:rPr>
                <w:sz w:val="18"/>
                <w:szCs w:val="18"/>
              </w:rPr>
              <w:t>beigelegt</w:t>
            </w:r>
            <w:proofErr w:type="spellEnd"/>
            <w:r w:rsidRPr="00CB7413">
              <w:rPr>
                <w:sz w:val="18"/>
                <w:szCs w:val="18"/>
              </w:rPr>
              <w:t xml:space="preserve">. </w:t>
            </w:r>
            <w:r w:rsidRPr="0069716F">
              <w:rPr>
                <w:sz w:val="18"/>
                <w:szCs w:val="18"/>
                <w:highlight w:val="lightGray"/>
              </w:rPr>
              <w:t xml:space="preserve">14 Jahre und 4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Monate</w:t>
            </w:r>
            <w:proofErr w:type="spellEnd"/>
            <w:r w:rsidRPr="0069716F">
              <w:rPr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zwischen</w:t>
            </w:r>
            <w:proofErr w:type="spellEnd"/>
            <w:r w:rsidRPr="0069716F">
              <w:rPr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Entlassung</w:t>
            </w:r>
            <w:proofErr w:type="spellEnd"/>
            <w:r w:rsidRPr="0069716F">
              <w:rPr>
                <w:sz w:val="18"/>
                <w:szCs w:val="18"/>
                <w:highlight w:val="lightGray"/>
              </w:rPr>
              <w:t xml:space="preserve"> und </w:t>
            </w:r>
            <w:proofErr w:type="spellStart"/>
            <w:r w:rsidRPr="0069716F">
              <w:rPr>
                <w:sz w:val="18"/>
                <w:szCs w:val="18"/>
                <w:highlight w:val="lightGray"/>
              </w:rPr>
              <w:t>Beilegung</w:t>
            </w:r>
            <w:proofErr w:type="spellEnd"/>
            <w:r w:rsidRPr="0069716F">
              <w:rPr>
                <w:sz w:val="18"/>
                <w:szCs w:val="18"/>
                <w:highlight w:val="lightGray"/>
              </w:rPr>
              <w:t>.</w:t>
            </w:r>
          </w:p>
        </w:tc>
        <w:tc>
          <w:tcPr>
            <w:tcW w:w="2693" w:type="dxa"/>
          </w:tcPr>
          <w:p w14:paraId="22F79882" w14:textId="77777777" w:rsidR="00DC026E" w:rsidRPr="003A57A3" w:rsidRDefault="001466F1" w:rsidP="009C0839">
            <w:pPr>
              <w:jc w:val="left"/>
              <w:rPr>
                <w:sz w:val="18"/>
                <w:szCs w:val="18"/>
              </w:rPr>
            </w:pPr>
            <w:r w:rsidRPr="003A57A3">
              <w:rPr>
                <w:rFonts w:hint="eastAsia"/>
                <w:sz w:val="18"/>
                <w:szCs w:val="18"/>
              </w:rPr>
              <w:t>なし</w:t>
            </w:r>
            <w:r w:rsidR="00CB7413" w:rsidRPr="00CB7413">
              <w:rPr>
                <w:sz w:val="18"/>
                <w:szCs w:val="18"/>
              </w:rPr>
              <w:t>Nein</w:t>
            </w:r>
          </w:p>
        </w:tc>
      </w:tr>
      <w:tr w:rsidR="006900C3" w:rsidRPr="003A57A3" w14:paraId="13ABD9E1" w14:textId="77777777" w:rsidTr="00741F7D">
        <w:tc>
          <w:tcPr>
            <w:tcW w:w="1696" w:type="dxa"/>
          </w:tcPr>
          <w:p w14:paraId="690222BE" w14:textId="77777777" w:rsidR="006900C3" w:rsidRPr="003A57A3" w:rsidRDefault="0069716F" w:rsidP="009C0839">
            <w:pPr>
              <w:jc w:val="left"/>
              <w:rPr>
                <w:sz w:val="18"/>
                <w:szCs w:val="18"/>
              </w:rPr>
            </w:pPr>
            <w:proofErr w:type="spellStart"/>
            <w:r w:rsidRPr="0069716F">
              <w:rPr>
                <w:sz w:val="18"/>
                <w:szCs w:val="18"/>
              </w:rPr>
              <w:t>Wiedereinstellung</w:t>
            </w:r>
            <w:proofErr w:type="spellEnd"/>
          </w:p>
        </w:tc>
        <w:tc>
          <w:tcPr>
            <w:tcW w:w="2694" w:type="dxa"/>
          </w:tcPr>
          <w:p w14:paraId="11FBCE49" w14:textId="77777777" w:rsidR="006900C3" w:rsidRDefault="0069716F" w:rsidP="009C0839">
            <w:pPr>
              <w:jc w:val="left"/>
              <w:rPr>
                <w:sz w:val="18"/>
                <w:szCs w:val="18"/>
              </w:rPr>
            </w:pPr>
            <w:r w:rsidRPr="0069716F">
              <w:rPr>
                <w:sz w:val="18"/>
                <w:szCs w:val="18"/>
              </w:rPr>
              <w:t xml:space="preserve">Das </w:t>
            </w:r>
            <w:proofErr w:type="spellStart"/>
            <w:r w:rsidRPr="0069716F">
              <w:rPr>
                <w:sz w:val="18"/>
                <w:szCs w:val="18"/>
              </w:rPr>
              <w:t>obligatorische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Rentenalter</w:t>
            </w:r>
            <w:proofErr w:type="spellEnd"/>
            <w:r w:rsidRPr="0069716F">
              <w:rPr>
                <w:sz w:val="18"/>
                <w:szCs w:val="18"/>
              </w:rPr>
              <w:t xml:space="preserve"> von 60 Jahren für </w:t>
            </w:r>
            <w:proofErr w:type="spellStart"/>
            <w:r w:rsidRPr="0069716F">
              <w:rPr>
                <w:sz w:val="18"/>
                <w:szCs w:val="18"/>
              </w:rPr>
              <w:t>Männer</w:t>
            </w:r>
            <w:proofErr w:type="spellEnd"/>
            <w:r w:rsidRPr="0069716F">
              <w:rPr>
                <w:sz w:val="18"/>
                <w:szCs w:val="18"/>
              </w:rPr>
              <w:t xml:space="preserve"> und 55 Jahren für Frauen </w:t>
            </w:r>
            <w:proofErr w:type="spellStart"/>
            <w:r w:rsidRPr="0069716F">
              <w:rPr>
                <w:sz w:val="18"/>
                <w:szCs w:val="18"/>
              </w:rPr>
              <w:t>wurde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als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gegen</w:t>
            </w:r>
            <w:proofErr w:type="spellEnd"/>
            <w:r w:rsidRPr="0069716F">
              <w:rPr>
                <w:sz w:val="18"/>
                <w:szCs w:val="18"/>
              </w:rPr>
              <w:t xml:space="preserve"> die </w:t>
            </w:r>
            <w:proofErr w:type="spellStart"/>
            <w:r w:rsidRPr="0069716F">
              <w:rPr>
                <w:sz w:val="18"/>
                <w:szCs w:val="18"/>
              </w:rPr>
              <w:t>öffentliche</w:t>
            </w:r>
            <w:proofErr w:type="spellEnd"/>
            <w:r w:rsidRPr="0069716F">
              <w:rPr>
                <w:sz w:val="18"/>
                <w:szCs w:val="18"/>
              </w:rPr>
              <w:t xml:space="preserve"> Ordnung </w:t>
            </w:r>
            <w:r w:rsidRPr="0069716F">
              <w:rPr>
                <w:sz w:val="18"/>
                <w:szCs w:val="18"/>
              </w:rPr>
              <w:lastRenderedPageBreak/>
              <w:t xml:space="preserve">und die </w:t>
            </w:r>
            <w:proofErr w:type="spellStart"/>
            <w:r w:rsidRPr="0069716F">
              <w:rPr>
                <w:sz w:val="18"/>
                <w:szCs w:val="18"/>
              </w:rPr>
              <w:t>guten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Sitten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verstoßend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angesehen</w:t>
            </w:r>
            <w:proofErr w:type="spellEnd"/>
            <w:r w:rsidRPr="0069716F">
              <w:rPr>
                <w:sz w:val="18"/>
                <w:szCs w:val="18"/>
              </w:rPr>
              <w:t xml:space="preserve"> (Artikel 90 des </w:t>
            </w:r>
            <w:proofErr w:type="spellStart"/>
            <w:r w:rsidRPr="0069716F">
              <w:rPr>
                <w:sz w:val="18"/>
                <w:szCs w:val="18"/>
              </w:rPr>
              <w:t>Bürgerlichen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Gesetzbuches</w:t>
            </w:r>
            <w:proofErr w:type="spellEnd"/>
            <w:r w:rsidRPr="0069716F">
              <w:rPr>
                <w:sz w:val="18"/>
                <w:szCs w:val="18"/>
              </w:rPr>
              <w:t xml:space="preserve">), </w:t>
            </w:r>
            <w:proofErr w:type="spellStart"/>
            <w:r w:rsidRPr="0069716F">
              <w:rPr>
                <w:sz w:val="18"/>
                <w:szCs w:val="18"/>
              </w:rPr>
              <w:t>wodurch</w:t>
            </w:r>
            <w:proofErr w:type="spellEnd"/>
            <w:r w:rsidRPr="0069716F">
              <w:rPr>
                <w:sz w:val="18"/>
                <w:szCs w:val="18"/>
              </w:rPr>
              <w:t xml:space="preserve"> die </w:t>
            </w:r>
            <w:proofErr w:type="spellStart"/>
            <w:r w:rsidRPr="0069716F">
              <w:rPr>
                <w:sz w:val="18"/>
                <w:szCs w:val="18"/>
              </w:rPr>
              <w:t>Entlassungen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ungültig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wurden</w:t>
            </w:r>
            <w:proofErr w:type="spellEnd"/>
            <w:r w:rsidRPr="0069716F">
              <w:rPr>
                <w:sz w:val="18"/>
                <w:szCs w:val="18"/>
              </w:rPr>
              <w:t>.</w:t>
            </w:r>
          </w:p>
          <w:p w14:paraId="04257248" w14:textId="77777777" w:rsidR="0069716F" w:rsidRDefault="0069716F" w:rsidP="009C0839">
            <w:pPr>
              <w:jc w:val="left"/>
              <w:rPr>
                <w:sz w:val="18"/>
                <w:szCs w:val="18"/>
              </w:rPr>
            </w:pPr>
          </w:p>
          <w:p w14:paraId="2B9DEAA1" w14:textId="77777777" w:rsidR="0069716F" w:rsidRPr="003A57A3" w:rsidRDefault="0069716F" w:rsidP="009C0839">
            <w:pPr>
              <w:jc w:val="left"/>
              <w:rPr>
                <w:sz w:val="18"/>
                <w:szCs w:val="18"/>
              </w:rPr>
            </w:pPr>
            <w:r w:rsidRPr="0069716F">
              <w:rPr>
                <w:sz w:val="18"/>
                <w:szCs w:val="18"/>
              </w:rPr>
              <w:t xml:space="preserve">Als das </w:t>
            </w:r>
            <w:proofErr w:type="spellStart"/>
            <w:r w:rsidRPr="0069716F">
              <w:rPr>
                <w:sz w:val="18"/>
                <w:szCs w:val="18"/>
              </w:rPr>
              <w:t>Urteil</w:t>
            </w:r>
            <w:proofErr w:type="spellEnd"/>
            <w:r w:rsidRPr="0069716F">
              <w:rPr>
                <w:sz w:val="18"/>
                <w:szCs w:val="18"/>
              </w:rPr>
              <w:t xml:space="preserve"> des </w:t>
            </w:r>
            <w:proofErr w:type="spellStart"/>
            <w:r w:rsidRPr="0069716F">
              <w:rPr>
                <w:sz w:val="18"/>
                <w:szCs w:val="18"/>
              </w:rPr>
              <w:t>Obersten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Gerichtshofs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erging</w:t>
            </w:r>
            <w:proofErr w:type="spellEnd"/>
            <w:r w:rsidRPr="0069716F">
              <w:rPr>
                <w:sz w:val="18"/>
                <w:szCs w:val="18"/>
              </w:rPr>
              <w:t xml:space="preserve">, </w:t>
            </w:r>
            <w:proofErr w:type="spellStart"/>
            <w:r w:rsidRPr="0069716F">
              <w:rPr>
                <w:sz w:val="18"/>
                <w:szCs w:val="18"/>
              </w:rPr>
              <w:t>hatte</w:t>
            </w:r>
            <w:proofErr w:type="spellEnd"/>
            <w:r w:rsidRPr="0069716F">
              <w:rPr>
                <w:sz w:val="18"/>
                <w:szCs w:val="18"/>
              </w:rPr>
              <w:t xml:space="preserve"> die 1919 </w:t>
            </w:r>
            <w:proofErr w:type="spellStart"/>
            <w:r w:rsidRPr="0069716F">
              <w:rPr>
                <w:sz w:val="18"/>
                <w:szCs w:val="18"/>
              </w:rPr>
              <w:t>geborene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Klägerin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jedoch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bereits</w:t>
            </w:r>
            <w:proofErr w:type="spellEnd"/>
            <w:r w:rsidRPr="0069716F">
              <w:rPr>
                <w:sz w:val="18"/>
                <w:szCs w:val="18"/>
              </w:rPr>
              <w:t xml:space="preserve"> das </w:t>
            </w:r>
            <w:proofErr w:type="spellStart"/>
            <w:r w:rsidRPr="0069716F">
              <w:rPr>
                <w:sz w:val="18"/>
                <w:szCs w:val="18"/>
              </w:rPr>
              <w:t>obligatorische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Rentenalter</w:t>
            </w:r>
            <w:proofErr w:type="spellEnd"/>
            <w:r w:rsidRPr="0069716F">
              <w:rPr>
                <w:sz w:val="18"/>
                <w:szCs w:val="18"/>
              </w:rPr>
              <w:t xml:space="preserve"> von 60 Jahren </w:t>
            </w:r>
            <w:proofErr w:type="spellStart"/>
            <w:r w:rsidRPr="0069716F">
              <w:rPr>
                <w:sz w:val="18"/>
                <w:szCs w:val="18"/>
              </w:rPr>
              <w:t>überschritten</w:t>
            </w:r>
            <w:proofErr w:type="spellEnd"/>
            <w:r w:rsidRPr="0069716F">
              <w:rPr>
                <w:sz w:val="18"/>
                <w:szCs w:val="18"/>
              </w:rPr>
              <w:t xml:space="preserve"> und </w:t>
            </w:r>
            <w:proofErr w:type="spellStart"/>
            <w:r w:rsidRPr="0069716F">
              <w:rPr>
                <w:sz w:val="18"/>
                <w:szCs w:val="18"/>
              </w:rPr>
              <w:t>konnte</w:t>
            </w:r>
            <w:proofErr w:type="spellEnd"/>
            <w:r w:rsidRPr="0069716F">
              <w:rPr>
                <w:sz w:val="18"/>
                <w:szCs w:val="18"/>
              </w:rPr>
              <w:t xml:space="preserve"> nicht </w:t>
            </w:r>
            <w:proofErr w:type="spellStart"/>
            <w:r w:rsidRPr="0069716F">
              <w:rPr>
                <w:sz w:val="18"/>
                <w:szCs w:val="18"/>
              </w:rPr>
              <w:t>wieder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eingestellt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werden</w:t>
            </w:r>
            <w:proofErr w:type="spellEnd"/>
            <w:r w:rsidRPr="0069716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</w:tcPr>
          <w:p w14:paraId="643EFE59" w14:textId="77777777" w:rsidR="0069716F" w:rsidRPr="003A57A3" w:rsidRDefault="0069716F" w:rsidP="009C0839">
            <w:pPr>
              <w:jc w:val="left"/>
              <w:rPr>
                <w:sz w:val="18"/>
                <w:szCs w:val="18"/>
              </w:rPr>
            </w:pPr>
            <w:r w:rsidRPr="0069716F">
              <w:rPr>
                <w:sz w:val="18"/>
                <w:szCs w:val="18"/>
              </w:rPr>
              <w:lastRenderedPageBreak/>
              <w:t xml:space="preserve">Die </w:t>
            </w:r>
            <w:proofErr w:type="spellStart"/>
            <w:r w:rsidRPr="0069716F">
              <w:rPr>
                <w:sz w:val="18"/>
                <w:szCs w:val="18"/>
              </w:rPr>
              <w:t>wichtigsten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Bedingungen</w:t>
            </w:r>
            <w:proofErr w:type="spellEnd"/>
            <w:r w:rsidRPr="0069716F">
              <w:rPr>
                <w:sz w:val="18"/>
                <w:szCs w:val="18"/>
              </w:rPr>
              <w:t xml:space="preserve"> der </w:t>
            </w:r>
            <w:proofErr w:type="spellStart"/>
            <w:r w:rsidRPr="0069716F">
              <w:rPr>
                <w:sz w:val="18"/>
                <w:szCs w:val="18"/>
              </w:rPr>
              <w:t>Einigung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vor</w:t>
            </w:r>
            <w:proofErr w:type="spellEnd"/>
            <w:r w:rsidRPr="0069716F">
              <w:rPr>
                <w:sz w:val="18"/>
                <w:szCs w:val="18"/>
              </w:rPr>
              <w:t xml:space="preserve"> der </w:t>
            </w:r>
            <w:proofErr w:type="spellStart"/>
            <w:r w:rsidRPr="0069716F">
              <w:rPr>
                <w:sz w:val="18"/>
                <w:szCs w:val="18"/>
              </w:rPr>
              <w:t>Zentralen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Arbeitsbeziehungskommission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lauteten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wie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folgt</w:t>
            </w:r>
            <w:proofErr w:type="spellEnd"/>
            <w:r w:rsidRPr="0069716F">
              <w:rPr>
                <w:sz w:val="18"/>
                <w:szCs w:val="18"/>
              </w:rPr>
              <w:t xml:space="preserve">. Zum </w:t>
            </w:r>
            <w:proofErr w:type="spellStart"/>
            <w:r w:rsidRPr="0069716F">
              <w:rPr>
                <w:sz w:val="18"/>
                <w:szCs w:val="18"/>
              </w:rPr>
              <w:lastRenderedPageBreak/>
              <w:t>Zeitpunkt</w:t>
            </w:r>
            <w:proofErr w:type="spellEnd"/>
            <w:r w:rsidRPr="0069716F">
              <w:rPr>
                <w:sz w:val="18"/>
                <w:szCs w:val="18"/>
              </w:rPr>
              <w:t xml:space="preserve"> der </w:t>
            </w:r>
            <w:proofErr w:type="spellStart"/>
            <w:r w:rsidRPr="0069716F">
              <w:rPr>
                <w:sz w:val="18"/>
                <w:szCs w:val="18"/>
              </w:rPr>
              <w:t>Einigung</w:t>
            </w:r>
            <w:proofErr w:type="spellEnd"/>
            <w:r w:rsidRPr="0069716F">
              <w:rPr>
                <w:sz w:val="18"/>
                <w:szCs w:val="18"/>
              </w:rPr>
              <w:t xml:space="preserve"> gab es 13 </w:t>
            </w:r>
            <w:proofErr w:type="spellStart"/>
            <w:r w:rsidRPr="0069716F">
              <w:rPr>
                <w:sz w:val="18"/>
                <w:szCs w:val="18"/>
              </w:rPr>
              <w:t>Kläger</w:t>
            </w:r>
            <w:proofErr w:type="spellEnd"/>
            <w:r w:rsidRPr="0069716F">
              <w:rPr>
                <w:sz w:val="18"/>
                <w:szCs w:val="18"/>
              </w:rPr>
              <w:t xml:space="preserve">. Einer </w:t>
            </w:r>
            <w:proofErr w:type="spellStart"/>
            <w:r w:rsidRPr="0069716F">
              <w:rPr>
                <w:sz w:val="18"/>
                <w:szCs w:val="18"/>
              </w:rPr>
              <w:t>hatte</w:t>
            </w:r>
            <w:proofErr w:type="spellEnd"/>
            <w:r w:rsidRPr="0069716F">
              <w:rPr>
                <w:sz w:val="18"/>
                <w:szCs w:val="18"/>
              </w:rPr>
              <w:t xml:space="preserve"> das </w:t>
            </w:r>
            <w:proofErr w:type="spellStart"/>
            <w:r w:rsidRPr="0069716F">
              <w:rPr>
                <w:sz w:val="18"/>
                <w:szCs w:val="18"/>
              </w:rPr>
              <w:t>Rentenalter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erreicht</w:t>
            </w:r>
            <w:proofErr w:type="spellEnd"/>
            <w:r w:rsidRPr="0069716F">
              <w:rPr>
                <w:sz w:val="18"/>
                <w:szCs w:val="18"/>
              </w:rPr>
              <w:t xml:space="preserve">. Die </w:t>
            </w:r>
            <w:proofErr w:type="spellStart"/>
            <w:r w:rsidRPr="0069716F">
              <w:rPr>
                <w:sz w:val="18"/>
                <w:szCs w:val="18"/>
              </w:rPr>
              <w:t>Entlassungen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aller</w:t>
            </w:r>
            <w:proofErr w:type="spellEnd"/>
            <w:r w:rsidRPr="0069716F">
              <w:rPr>
                <w:sz w:val="18"/>
                <w:szCs w:val="18"/>
              </w:rPr>
              <w:t xml:space="preserve"> 12 </w:t>
            </w:r>
            <w:proofErr w:type="spellStart"/>
            <w:r w:rsidRPr="0069716F">
              <w:rPr>
                <w:sz w:val="18"/>
                <w:szCs w:val="18"/>
              </w:rPr>
              <w:t>verbleibenden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Kläger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wurden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zurückgenommen</w:t>
            </w:r>
            <w:proofErr w:type="spellEnd"/>
            <w:r w:rsidRPr="0069716F">
              <w:rPr>
                <w:sz w:val="18"/>
                <w:szCs w:val="18"/>
              </w:rPr>
              <w:t xml:space="preserve">, </w:t>
            </w:r>
            <w:proofErr w:type="spellStart"/>
            <w:r w:rsidRPr="0069716F">
              <w:rPr>
                <w:sz w:val="18"/>
                <w:szCs w:val="18"/>
              </w:rPr>
              <w:t>wobei</w:t>
            </w:r>
            <w:proofErr w:type="spellEnd"/>
            <w:r w:rsidRPr="0069716F">
              <w:rPr>
                <w:sz w:val="18"/>
                <w:szCs w:val="18"/>
              </w:rPr>
              <w:t xml:space="preserve"> die </w:t>
            </w:r>
            <w:proofErr w:type="spellStart"/>
            <w:r w:rsidRPr="0069716F">
              <w:rPr>
                <w:sz w:val="18"/>
                <w:szCs w:val="18"/>
              </w:rPr>
              <w:t>Hälfte</w:t>
            </w:r>
            <w:proofErr w:type="spellEnd"/>
            <w:r w:rsidRPr="0069716F">
              <w:rPr>
                <w:sz w:val="18"/>
                <w:szCs w:val="18"/>
              </w:rPr>
              <w:t xml:space="preserve"> (6) </w:t>
            </w:r>
            <w:proofErr w:type="spellStart"/>
            <w:r w:rsidRPr="0069716F">
              <w:rPr>
                <w:sz w:val="18"/>
                <w:szCs w:val="18"/>
              </w:rPr>
              <w:t>wieder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eingestellt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wurde</w:t>
            </w:r>
            <w:proofErr w:type="spellEnd"/>
            <w:r w:rsidRPr="0069716F">
              <w:rPr>
                <w:sz w:val="18"/>
                <w:szCs w:val="18"/>
              </w:rPr>
              <w:t xml:space="preserve">. Die 6 </w:t>
            </w:r>
            <w:proofErr w:type="spellStart"/>
            <w:r w:rsidRPr="0069716F">
              <w:rPr>
                <w:sz w:val="18"/>
                <w:szCs w:val="18"/>
              </w:rPr>
              <w:t>wieder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eingestellten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Personen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kehrten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tatsächlich</w:t>
            </w:r>
            <w:proofErr w:type="spellEnd"/>
            <w:r w:rsidRPr="0069716F">
              <w:rPr>
                <w:sz w:val="18"/>
                <w:szCs w:val="18"/>
              </w:rPr>
              <w:t xml:space="preserve"> an </w:t>
            </w:r>
            <w:proofErr w:type="spellStart"/>
            <w:r w:rsidRPr="0069716F">
              <w:rPr>
                <w:sz w:val="18"/>
                <w:szCs w:val="18"/>
              </w:rPr>
              <w:t>ihren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Arbeitsplatz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zurück</w:t>
            </w:r>
            <w:proofErr w:type="spellEnd"/>
            <w:r w:rsidRPr="0069716F">
              <w:rPr>
                <w:sz w:val="18"/>
                <w:szCs w:val="18"/>
              </w:rPr>
              <w:t xml:space="preserve"> und </w:t>
            </w:r>
            <w:proofErr w:type="spellStart"/>
            <w:r w:rsidRPr="0069716F">
              <w:rPr>
                <w:sz w:val="18"/>
                <w:szCs w:val="18"/>
              </w:rPr>
              <w:t>bemühten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sich</w:t>
            </w:r>
            <w:proofErr w:type="spellEnd"/>
            <w:r w:rsidRPr="0069716F">
              <w:rPr>
                <w:sz w:val="18"/>
                <w:szCs w:val="18"/>
              </w:rPr>
              <w:t xml:space="preserve">, </w:t>
            </w:r>
            <w:proofErr w:type="spellStart"/>
            <w:r w:rsidRPr="0069716F">
              <w:rPr>
                <w:sz w:val="18"/>
                <w:szCs w:val="18"/>
              </w:rPr>
              <w:t>ihre</w:t>
            </w:r>
            <w:proofErr w:type="spellEnd"/>
            <w:r w:rsidRPr="0069716F">
              <w:rPr>
                <w:sz w:val="18"/>
                <w:szCs w:val="18"/>
              </w:rPr>
              <w:t xml:space="preserve"> Leistung und die </w:t>
            </w:r>
            <w:proofErr w:type="spellStart"/>
            <w:r w:rsidRPr="0069716F">
              <w:rPr>
                <w:sz w:val="18"/>
                <w:szCs w:val="18"/>
              </w:rPr>
              <w:t>Beziehungen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zwischen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Arbeitnehmern</w:t>
            </w:r>
            <w:proofErr w:type="spellEnd"/>
            <w:r w:rsidRPr="0069716F">
              <w:rPr>
                <w:sz w:val="18"/>
                <w:szCs w:val="18"/>
              </w:rPr>
              <w:t xml:space="preserve"> und </w:t>
            </w:r>
            <w:proofErr w:type="spellStart"/>
            <w:r w:rsidRPr="0069716F">
              <w:rPr>
                <w:sz w:val="18"/>
                <w:szCs w:val="18"/>
              </w:rPr>
              <w:t>Arbeitgebern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wieder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aufzubauen</w:t>
            </w:r>
            <w:proofErr w:type="spellEnd"/>
            <w:r w:rsidRPr="0069716F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FB090B2" w14:textId="77777777" w:rsidR="006900C3" w:rsidRPr="003A57A3" w:rsidRDefault="0069716F" w:rsidP="009C0839">
            <w:pPr>
              <w:jc w:val="left"/>
              <w:rPr>
                <w:sz w:val="18"/>
                <w:szCs w:val="18"/>
              </w:rPr>
            </w:pPr>
            <w:r w:rsidRPr="0069716F">
              <w:rPr>
                <w:sz w:val="18"/>
                <w:szCs w:val="18"/>
              </w:rPr>
              <w:lastRenderedPageBreak/>
              <w:t xml:space="preserve">Da die </w:t>
            </w:r>
            <w:proofErr w:type="spellStart"/>
            <w:r w:rsidRPr="0069716F">
              <w:rPr>
                <w:sz w:val="18"/>
                <w:szCs w:val="18"/>
              </w:rPr>
              <w:t>Entlassung</w:t>
            </w:r>
            <w:proofErr w:type="spellEnd"/>
            <w:r w:rsidRPr="0069716F">
              <w:rPr>
                <w:sz w:val="18"/>
                <w:szCs w:val="18"/>
              </w:rPr>
              <w:t xml:space="preserve"> für </w:t>
            </w:r>
            <w:proofErr w:type="spellStart"/>
            <w:r w:rsidRPr="0069716F">
              <w:rPr>
                <w:sz w:val="18"/>
                <w:szCs w:val="18"/>
              </w:rPr>
              <w:t>gültig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erklärt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worden</w:t>
            </w:r>
            <w:proofErr w:type="spellEnd"/>
            <w:r w:rsidRPr="0069716F">
              <w:rPr>
                <w:sz w:val="18"/>
                <w:szCs w:val="18"/>
              </w:rPr>
              <w:t xml:space="preserve"> war, war </w:t>
            </w:r>
            <w:proofErr w:type="spellStart"/>
            <w:r w:rsidRPr="0069716F">
              <w:rPr>
                <w:sz w:val="18"/>
                <w:szCs w:val="18"/>
              </w:rPr>
              <w:t>eine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Wiedereinstellung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grundsätzlich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unmöglich</w:t>
            </w:r>
            <w:proofErr w:type="spellEnd"/>
            <w:r w:rsidRPr="0069716F">
              <w:rPr>
                <w:sz w:val="18"/>
                <w:szCs w:val="18"/>
              </w:rPr>
              <w:t xml:space="preserve">. In </w:t>
            </w:r>
            <w:r w:rsidRPr="0069716F">
              <w:rPr>
                <w:sz w:val="18"/>
                <w:szCs w:val="18"/>
              </w:rPr>
              <w:lastRenderedPageBreak/>
              <w:t xml:space="preserve">der </w:t>
            </w:r>
            <w:proofErr w:type="spellStart"/>
            <w:r w:rsidRPr="0069716F">
              <w:rPr>
                <w:sz w:val="18"/>
                <w:szCs w:val="18"/>
              </w:rPr>
              <w:t>Folge</w:t>
            </w:r>
            <w:proofErr w:type="spellEnd"/>
            <w:r w:rsidRPr="0069716F">
              <w:rPr>
                <w:sz w:val="18"/>
                <w:szCs w:val="18"/>
              </w:rPr>
              <w:t xml:space="preserve"> fand </w:t>
            </w:r>
            <w:proofErr w:type="spellStart"/>
            <w:r w:rsidRPr="0069716F">
              <w:rPr>
                <w:sz w:val="18"/>
                <w:szCs w:val="18"/>
              </w:rPr>
              <w:t>sie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eine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Anstellung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bei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einem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anderen</w:t>
            </w:r>
            <w:proofErr w:type="spellEnd"/>
            <w:r w:rsidRPr="0069716F">
              <w:rPr>
                <w:sz w:val="18"/>
                <w:szCs w:val="18"/>
              </w:rPr>
              <w:t xml:space="preserve"> </w:t>
            </w:r>
            <w:proofErr w:type="spellStart"/>
            <w:r w:rsidRPr="0069716F">
              <w:rPr>
                <w:sz w:val="18"/>
                <w:szCs w:val="18"/>
              </w:rPr>
              <w:t>Unternehmen</w:t>
            </w:r>
            <w:proofErr w:type="spellEnd"/>
            <w:r w:rsidRPr="0069716F">
              <w:rPr>
                <w:sz w:val="18"/>
                <w:szCs w:val="18"/>
              </w:rPr>
              <w:t>.</w:t>
            </w:r>
          </w:p>
        </w:tc>
      </w:tr>
    </w:tbl>
    <w:p w14:paraId="42D23EB7" w14:textId="77777777" w:rsidR="006900C3" w:rsidRDefault="006900C3" w:rsidP="009C0839">
      <w:pPr>
        <w:jc w:val="left"/>
      </w:pPr>
    </w:p>
    <w:p w14:paraId="16BCD23E" w14:textId="77777777" w:rsidR="00613808" w:rsidRDefault="007D6C2B" w:rsidP="00613808">
      <w:pPr>
        <w:rPr>
          <w:b/>
          <w:bCs/>
        </w:rPr>
      </w:pPr>
      <w:r w:rsidRPr="00613808">
        <w:rPr>
          <w:b/>
          <w:bCs/>
        </w:rPr>
        <w:t xml:space="preserve">3. </w:t>
      </w:r>
      <w:r w:rsidR="00613808" w:rsidRPr="00DE02A1">
        <w:rPr>
          <w:b/>
          <w:bCs/>
        </w:rPr>
        <w:t xml:space="preserve">Die Logik der </w:t>
      </w:r>
      <w:proofErr w:type="spellStart"/>
      <w:r w:rsidR="00613808" w:rsidRPr="00DE02A1">
        <w:rPr>
          <w:b/>
          <w:bCs/>
          <w:i/>
          <w:iCs/>
        </w:rPr>
        <w:t>Urtra</w:t>
      </w:r>
      <w:proofErr w:type="spellEnd"/>
      <w:r w:rsidR="00613808" w:rsidRPr="00DE02A1">
        <w:rPr>
          <w:b/>
          <w:bCs/>
          <w:i/>
          <w:iCs/>
        </w:rPr>
        <w:t>-Society</w:t>
      </w:r>
      <w:r w:rsidR="00613808" w:rsidRPr="00DE02A1">
        <w:rPr>
          <w:b/>
          <w:bCs/>
        </w:rPr>
        <w:t xml:space="preserve"> </w:t>
      </w:r>
    </w:p>
    <w:p w14:paraId="64DA4D3E" w14:textId="77777777" w:rsidR="007D6C2B" w:rsidRPr="00613808" w:rsidRDefault="007D6C2B" w:rsidP="007D6C2B">
      <w:pPr>
        <w:rPr>
          <w:b/>
          <w:bCs/>
        </w:rPr>
      </w:pPr>
    </w:p>
    <w:p w14:paraId="25D2309F" w14:textId="77777777" w:rsidR="007D6C2B" w:rsidRPr="00613808" w:rsidRDefault="007D6C2B" w:rsidP="007D6C2B">
      <w:r w:rsidRPr="00613808">
        <w:t xml:space="preserve">Ultrasozialität </w:t>
      </w:r>
      <w:proofErr w:type="spellStart"/>
      <w:r w:rsidRPr="00613808">
        <w:t>ist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von Heath (2008) </w:t>
      </w:r>
      <w:proofErr w:type="spellStart"/>
      <w:r w:rsidRPr="00613808">
        <w:t>vorgeschlagenes</w:t>
      </w:r>
      <w:proofErr w:type="spellEnd"/>
      <w:r w:rsidRPr="00613808">
        <w:t xml:space="preserve"> </w:t>
      </w:r>
      <w:proofErr w:type="spellStart"/>
      <w:r w:rsidRPr="00613808">
        <w:t>Konzept</w:t>
      </w:r>
      <w:proofErr w:type="spellEnd"/>
      <w:r w:rsidRPr="00613808">
        <w:t xml:space="preserve">, das </w:t>
      </w:r>
      <w:proofErr w:type="spellStart"/>
      <w:r w:rsidRPr="00613808">
        <w:t>sich</w:t>
      </w:r>
      <w:proofErr w:type="spellEnd"/>
      <w:r w:rsidRPr="00613808">
        <w:t xml:space="preserve"> auf die </w:t>
      </w:r>
      <w:proofErr w:type="spellStart"/>
      <w:r w:rsidRPr="00613808">
        <w:t>groß</w:t>
      </w:r>
      <w:proofErr w:type="spellEnd"/>
      <w:r w:rsidRPr="00613808">
        <w:t xml:space="preserve"> </w:t>
      </w:r>
      <w:proofErr w:type="spellStart"/>
      <w:r w:rsidRPr="00613808">
        <w:t>angelegte</w:t>
      </w:r>
      <w:proofErr w:type="spellEnd"/>
      <w:r w:rsidRPr="00613808">
        <w:t xml:space="preserve"> Zusammenarbeit </w:t>
      </w:r>
      <w:proofErr w:type="spellStart"/>
      <w:r w:rsidRPr="00613808">
        <w:t>zwischen</w:t>
      </w:r>
      <w:proofErr w:type="spellEnd"/>
      <w:r w:rsidRPr="00613808">
        <w:t xml:space="preserve"> </w:t>
      </w:r>
      <w:proofErr w:type="spellStart"/>
      <w:r w:rsidRPr="00613808">
        <w:t>völlig</w:t>
      </w:r>
      <w:proofErr w:type="spellEnd"/>
      <w:r w:rsidRPr="00613808">
        <w:t xml:space="preserve"> </w:t>
      </w:r>
      <w:proofErr w:type="spellStart"/>
      <w:r w:rsidRPr="00613808">
        <w:t>Fremden</w:t>
      </w:r>
      <w:proofErr w:type="spellEnd"/>
      <w:r w:rsidRPr="00613808">
        <w:t xml:space="preserve"> </w:t>
      </w:r>
      <w:proofErr w:type="spellStart"/>
      <w:r w:rsidRPr="00613808">
        <w:t>bezieht</w:t>
      </w:r>
      <w:proofErr w:type="spellEnd"/>
      <w:r w:rsidRPr="00613808">
        <w:t xml:space="preserve">. Die </w:t>
      </w:r>
      <w:proofErr w:type="spellStart"/>
      <w:r w:rsidRPr="00613808">
        <w:t>Kläger</w:t>
      </w:r>
      <w:proofErr w:type="spellEnd"/>
      <w:r w:rsidRPr="00613808">
        <w:t xml:space="preserve"> in </w:t>
      </w:r>
      <w:proofErr w:type="spellStart"/>
      <w:r w:rsidRPr="00613808">
        <w:t>Entlassungsfällen</w:t>
      </w:r>
      <w:proofErr w:type="spellEnd"/>
      <w:r w:rsidRPr="00613808">
        <w:t xml:space="preserve">, auf die ich </w:t>
      </w:r>
      <w:proofErr w:type="spellStart"/>
      <w:r w:rsidRPr="00613808">
        <w:t>während</w:t>
      </w:r>
      <w:proofErr w:type="spellEnd"/>
      <w:r w:rsidRPr="00613808">
        <w:t xml:space="preserve"> </w:t>
      </w:r>
      <w:proofErr w:type="spellStart"/>
      <w:r w:rsidRPr="00613808">
        <w:t>meiner</w:t>
      </w:r>
      <w:proofErr w:type="spellEnd"/>
      <w:r w:rsidRPr="00613808">
        <w:t xml:space="preserve"> </w:t>
      </w:r>
      <w:proofErr w:type="spellStart"/>
      <w:r w:rsidRPr="00613808">
        <w:t>Fallstudien</w:t>
      </w:r>
      <w:proofErr w:type="spellEnd"/>
      <w:r w:rsidRPr="00613808">
        <w:t xml:space="preserve"> </w:t>
      </w:r>
      <w:proofErr w:type="spellStart"/>
      <w:r w:rsidRPr="00613808">
        <w:t>gestoßen</w:t>
      </w:r>
      <w:proofErr w:type="spellEnd"/>
      <w:r w:rsidRPr="00613808">
        <w:t xml:space="preserve"> bin, </w:t>
      </w:r>
      <w:proofErr w:type="spellStart"/>
      <w:r w:rsidRPr="00613808">
        <w:t>darunter</w:t>
      </w:r>
      <w:proofErr w:type="spellEnd"/>
      <w:r w:rsidRPr="00613808">
        <w:t xml:space="preserve"> die </w:t>
      </w:r>
      <w:proofErr w:type="spellStart"/>
      <w:r w:rsidRPr="00613808">
        <w:t>drei</w:t>
      </w:r>
      <w:proofErr w:type="spellEnd"/>
      <w:r w:rsidRPr="00613808">
        <w:t xml:space="preserve"> in </w:t>
      </w:r>
      <w:proofErr w:type="spellStart"/>
      <w:r w:rsidRPr="00613808">
        <w:t>Tabelle</w:t>
      </w:r>
      <w:proofErr w:type="spellEnd"/>
      <w:r w:rsidRPr="00613808">
        <w:t xml:space="preserve"> 1 </w:t>
      </w:r>
      <w:proofErr w:type="spellStart"/>
      <w:r w:rsidRPr="00613808">
        <w:t>aufgeführten</w:t>
      </w:r>
      <w:proofErr w:type="spellEnd"/>
      <w:r w:rsidRPr="00613808">
        <w:t xml:space="preserve"> </w:t>
      </w:r>
      <w:proofErr w:type="spellStart"/>
      <w:r w:rsidRPr="00613808">
        <w:t>Beispiele</w:t>
      </w:r>
      <w:proofErr w:type="spellEnd"/>
      <w:r w:rsidRPr="00613808">
        <w:t xml:space="preserve">, </w:t>
      </w:r>
      <w:proofErr w:type="spellStart"/>
      <w:r w:rsidRPr="00613808">
        <w:t>zeigten</w:t>
      </w:r>
      <w:proofErr w:type="spellEnd"/>
      <w:r w:rsidRPr="00613808">
        <w:t xml:space="preserve"> die </w:t>
      </w:r>
      <w:proofErr w:type="spellStart"/>
      <w:r w:rsidRPr="00613808">
        <w:t>folgenden</w:t>
      </w:r>
      <w:proofErr w:type="spellEnd"/>
      <w:r w:rsidRPr="00613808">
        <w:t xml:space="preserve"> Tendenzen:</w:t>
      </w:r>
    </w:p>
    <w:p w14:paraId="0BA00939" w14:textId="77777777" w:rsidR="007D6C2B" w:rsidRPr="00613808" w:rsidRDefault="007D6C2B" w:rsidP="007D6C2B">
      <w:r w:rsidRPr="00613808">
        <w:t xml:space="preserve">　</w:t>
      </w:r>
    </w:p>
    <w:p w14:paraId="158E91CC" w14:textId="77777777" w:rsidR="007D6C2B" w:rsidRPr="00613808" w:rsidRDefault="007D6C2B" w:rsidP="007D6C2B">
      <w:r w:rsidRPr="00613808">
        <w:t>・</w:t>
      </w:r>
      <w:r w:rsidRPr="00613808">
        <w:t xml:space="preserve">Als ich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nach</w:t>
      </w:r>
      <w:proofErr w:type="spellEnd"/>
      <w:r w:rsidRPr="00613808">
        <w:t xml:space="preserve"> dem Grund für </w:t>
      </w:r>
      <w:proofErr w:type="spellStart"/>
      <w:r w:rsidRPr="00613808">
        <w:t>ihre</w:t>
      </w:r>
      <w:proofErr w:type="spellEnd"/>
      <w:r w:rsidRPr="00613808">
        <w:t xml:space="preserve"> Klage </w:t>
      </w:r>
      <w:proofErr w:type="spellStart"/>
      <w:r w:rsidRPr="00613808">
        <w:t>fragte</w:t>
      </w:r>
      <w:proofErr w:type="spellEnd"/>
      <w:r w:rsidRPr="00613808">
        <w:t xml:space="preserve">, </w:t>
      </w:r>
      <w:proofErr w:type="spellStart"/>
      <w:r w:rsidRPr="00613808">
        <w:t>antworteten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einstimmig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der Meinung </w:t>
      </w:r>
      <w:proofErr w:type="spellStart"/>
      <w:r w:rsidRPr="00613808">
        <w:t>seien</w:t>
      </w:r>
      <w:proofErr w:type="spellEnd"/>
      <w:r w:rsidRPr="00613808">
        <w:t>, „</w:t>
      </w:r>
      <w:proofErr w:type="spellStart"/>
      <w:r w:rsidRPr="00613808">
        <w:t>solche</w:t>
      </w:r>
      <w:proofErr w:type="spellEnd"/>
      <w:r w:rsidRPr="00613808">
        <w:t xml:space="preserve"> </w:t>
      </w:r>
      <w:proofErr w:type="spellStart"/>
      <w:r w:rsidRPr="00613808">
        <w:t>Entlassungen</w:t>
      </w:r>
      <w:proofErr w:type="spellEnd"/>
      <w:r w:rsidRPr="00613808">
        <w:t xml:space="preserve"> </w:t>
      </w:r>
      <w:proofErr w:type="spellStart"/>
      <w:r w:rsidRPr="00613808">
        <w:t>dürfen</w:t>
      </w:r>
      <w:proofErr w:type="spellEnd"/>
      <w:r w:rsidRPr="00613808">
        <w:t xml:space="preserve"> </w:t>
      </w:r>
      <w:proofErr w:type="spellStart"/>
      <w:r w:rsidRPr="00613808">
        <w:t>einfach</w:t>
      </w:r>
      <w:proofErr w:type="spellEnd"/>
      <w:r w:rsidRPr="00613808">
        <w:t xml:space="preserve"> nicht </w:t>
      </w:r>
      <w:proofErr w:type="spellStart"/>
      <w:r w:rsidRPr="00613808">
        <w:t>zugelassen</w:t>
      </w:r>
      <w:proofErr w:type="spellEnd"/>
      <w:r w:rsidRPr="00613808">
        <w:t xml:space="preserve"> </w:t>
      </w:r>
      <w:proofErr w:type="spellStart"/>
      <w:r w:rsidRPr="00613808">
        <w:t>werden</w:t>
      </w:r>
      <w:proofErr w:type="spellEnd"/>
      <w:r w:rsidRPr="00613808">
        <w:t xml:space="preserve">”. </w:t>
      </w:r>
    </w:p>
    <w:p w14:paraId="197BFA88" w14:textId="77777777" w:rsidR="007D6C2B" w:rsidRPr="00613808" w:rsidRDefault="007D6C2B" w:rsidP="007D6C2B">
      <w:r w:rsidRPr="00613808">
        <w:t>・</w:t>
      </w:r>
      <w:r w:rsidRPr="00613808">
        <w:t xml:space="preserve">Sie </w:t>
      </w:r>
      <w:proofErr w:type="spellStart"/>
      <w:r w:rsidRPr="00613808">
        <w:t>setzten</w:t>
      </w:r>
      <w:proofErr w:type="spellEnd"/>
      <w:r w:rsidRPr="00613808">
        <w:t xml:space="preserve"> </w:t>
      </w:r>
      <w:proofErr w:type="spellStart"/>
      <w:r w:rsidRPr="00613808">
        <w:t>ihre</w:t>
      </w:r>
      <w:proofErr w:type="spellEnd"/>
      <w:r w:rsidRPr="00613808">
        <w:t xml:space="preserve"> </w:t>
      </w:r>
      <w:proofErr w:type="spellStart"/>
      <w:r w:rsidRPr="00613808">
        <w:t>Gerichtsverfahren</w:t>
      </w:r>
      <w:proofErr w:type="spellEnd"/>
      <w:r w:rsidRPr="00613808">
        <w:t xml:space="preserve"> fort und </w:t>
      </w:r>
      <w:proofErr w:type="spellStart"/>
      <w:r w:rsidRPr="00613808">
        <w:t>riskierten</w:t>
      </w:r>
      <w:proofErr w:type="spellEnd"/>
      <w:r w:rsidRPr="00613808">
        <w:t xml:space="preserve"> </w:t>
      </w:r>
      <w:proofErr w:type="spellStart"/>
      <w:r w:rsidRPr="00613808">
        <w:t>dabei</w:t>
      </w:r>
      <w:proofErr w:type="spellEnd"/>
      <w:r w:rsidRPr="00613808">
        <w:t xml:space="preserve"> </w:t>
      </w:r>
      <w:proofErr w:type="spellStart"/>
      <w:r w:rsidRPr="00613808">
        <w:t>ihre</w:t>
      </w:r>
      <w:proofErr w:type="spellEnd"/>
      <w:r w:rsidRPr="00613808">
        <w:t xml:space="preserve"> </w:t>
      </w:r>
      <w:proofErr w:type="spellStart"/>
      <w:r w:rsidRPr="00613808">
        <w:t>eigene</w:t>
      </w:r>
      <w:proofErr w:type="spellEnd"/>
      <w:r w:rsidRPr="00613808">
        <w:t xml:space="preserve"> </w:t>
      </w:r>
      <w:proofErr w:type="spellStart"/>
      <w:r w:rsidRPr="00613808">
        <w:t>Existenz</w:t>
      </w:r>
      <w:proofErr w:type="spellEnd"/>
      <w:r w:rsidRPr="00613808">
        <w:t xml:space="preserve"> und die </w:t>
      </w:r>
      <w:proofErr w:type="spellStart"/>
      <w:r w:rsidRPr="00613808">
        <w:t>ihrer</w:t>
      </w:r>
      <w:proofErr w:type="spellEnd"/>
      <w:r w:rsidRPr="00613808">
        <w:t xml:space="preserve"> </w:t>
      </w:r>
      <w:proofErr w:type="spellStart"/>
      <w:r w:rsidRPr="00613808">
        <w:t>Familien</w:t>
      </w:r>
      <w:proofErr w:type="spellEnd"/>
      <w:r w:rsidRPr="00613808">
        <w:t>.</w:t>
      </w:r>
    </w:p>
    <w:p w14:paraId="4446E875" w14:textId="77777777" w:rsidR="007D6C2B" w:rsidRPr="00613808" w:rsidRDefault="007D6C2B" w:rsidP="007D6C2B">
      <w:r w:rsidRPr="00613808">
        <w:t>・</w:t>
      </w:r>
      <w:r w:rsidRPr="00613808">
        <w:t xml:space="preserve">Sie </w:t>
      </w:r>
      <w:proofErr w:type="spellStart"/>
      <w:r w:rsidRPr="00613808">
        <w:t>befürchteten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eine</w:t>
      </w:r>
      <w:proofErr w:type="spellEnd"/>
      <w:r w:rsidRPr="00613808">
        <w:t xml:space="preserve"> </w:t>
      </w:r>
      <w:proofErr w:type="spellStart"/>
      <w:r w:rsidRPr="00613808">
        <w:t>Niederlage</w:t>
      </w:r>
      <w:proofErr w:type="spellEnd"/>
      <w:r w:rsidRPr="00613808">
        <w:t xml:space="preserve"> in </w:t>
      </w:r>
      <w:proofErr w:type="spellStart"/>
      <w:r w:rsidRPr="00613808">
        <w:t>ihrem</w:t>
      </w:r>
      <w:proofErr w:type="spellEnd"/>
      <w:r w:rsidRPr="00613808">
        <w:t xml:space="preserve"> Fall negative </w:t>
      </w:r>
      <w:proofErr w:type="spellStart"/>
      <w:r w:rsidRPr="00613808">
        <w:t>Auswirkungen</w:t>
      </w:r>
      <w:proofErr w:type="spellEnd"/>
      <w:r w:rsidRPr="00613808">
        <w:t xml:space="preserve"> auf </w:t>
      </w:r>
      <w:proofErr w:type="spellStart"/>
      <w:r w:rsidRPr="00613808">
        <w:t>andere</w:t>
      </w:r>
      <w:proofErr w:type="spellEnd"/>
      <w:r w:rsidRPr="00613808">
        <w:t xml:space="preserve"> </w:t>
      </w:r>
      <w:proofErr w:type="spellStart"/>
      <w:r w:rsidRPr="00613808">
        <w:t>entlassene</w:t>
      </w:r>
      <w:proofErr w:type="spellEnd"/>
      <w:r w:rsidRPr="00613808">
        <w:t xml:space="preserve"> </w:t>
      </w:r>
      <w:proofErr w:type="spellStart"/>
      <w:r w:rsidRPr="00613808">
        <w:t>Arbeitnehmer</w:t>
      </w:r>
      <w:proofErr w:type="spellEnd"/>
      <w:r w:rsidRPr="00613808">
        <w:t xml:space="preserve"> </w:t>
      </w:r>
      <w:proofErr w:type="spellStart"/>
      <w:r w:rsidRPr="00613808">
        <w:t>haben</w:t>
      </w:r>
      <w:proofErr w:type="spellEnd"/>
      <w:r w:rsidRPr="00613808">
        <w:t xml:space="preserve"> </w:t>
      </w:r>
      <w:proofErr w:type="spellStart"/>
      <w:r w:rsidRPr="00613808">
        <w:t>würde</w:t>
      </w:r>
      <w:proofErr w:type="spellEnd"/>
      <w:r w:rsidRPr="00613808">
        <w:t xml:space="preserve">, die </w:t>
      </w:r>
      <w:proofErr w:type="spellStart"/>
      <w:r w:rsidRPr="00613808">
        <w:t>ähnliche</w:t>
      </w:r>
      <w:proofErr w:type="spellEnd"/>
      <w:r w:rsidRPr="00613808">
        <w:t xml:space="preserve"> </w:t>
      </w:r>
      <w:proofErr w:type="spellStart"/>
      <w:r w:rsidRPr="00613808">
        <w:t>Klagen</w:t>
      </w:r>
      <w:proofErr w:type="spellEnd"/>
      <w:r w:rsidRPr="00613808">
        <w:t xml:space="preserve"> </w:t>
      </w:r>
      <w:proofErr w:type="spellStart"/>
      <w:r w:rsidRPr="00613808">
        <w:t>anstrengen</w:t>
      </w:r>
      <w:proofErr w:type="spellEnd"/>
      <w:r w:rsidRPr="00613808">
        <w:t xml:space="preserve">, und </w:t>
      </w:r>
      <w:proofErr w:type="spellStart"/>
      <w:r w:rsidRPr="00613808">
        <w:t>sogar</w:t>
      </w:r>
      <w:proofErr w:type="spellEnd"/>
      <w:r w:rsidRPr="00613808">
        <w:t xml:space="preserve"> auf alle </w:t>
      </w:r>
      <w:proofErr w:type="spellStart"/>
      <w:r w:rsidRPr="00613808">
        <w:t>Arbeitnehmer</w:t>
      </w:r>
      <w:proofErr w:type="spellEnd"/>
      <w:r w:rsidRPr="00613808">
        <w:t xml:space="preserve">. Es </w:t>
      </w:r>
      <w:proofErr w:type="spellStart"/>
      <w:r w:rsidRPr="00613808">
        <w:t>besteht</w:t>
      </w:r>
      <w:proofErr w:type="spellEnd"/>
      <w:r w:rsidRPr="00613808">
        <w:t xml:space="preserve"> die Tendenz, </w:t>
      </w:r>
      <w:proofErr w:type="spellStart"/>
      <w:r w:rsidRPr="00613808">
        <w:t>Berufung</w:t>
      </w:r>
      <w:proofErr w:type="spellEnd"/>
      <w:r w:rsidRPr="00613808">
        <w:t xml:space="preserve"> </w:t>
      </w:r>
      <w:proofErr w:type="spellStart"/>
      <w:r w:rsidRPr="00613808">
        <w:t>einzulegen</w:t>
      </w:r>
      <w:proofErr w:type="spellEnd"/>
      <w:r w:rsidRPr="00613808">
        <w:t xml:space="preserve">, um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verhindern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solche</w:t>
      </w:r>
      <w:proofErr w:type="spellEnd"/>
      <w:r w:rsidRPr="00613808">
        <w:t xml:space="preserve"> </w:t>
      </w:r>
      <w:proofErr w:type="spellStart"/>
      <w:r w:rsidRPr="00613808">
        <w:t>Gerichtsurteile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einem</w:t>
      </w:r>
      <w:proofErr w:type="spellEnd"/>
      <w:r w:rsidRPr="00613808">
        <w:t xml:space="preserve"> </w:t>
      </w:r>
      <w:proofErr w:type="spellStart"/>
      <w:r w:rsidRPr="00613808">
        <w:t>Präzedenzfall</w:t>
      </w:r>
      <w:proofErr w:type="spellEnd"/>
      <w:r w:rsidRPr="00613808">
        <w:t xml:space="preserve"> </w:t>
      </w:r>
      <w:proofErr w:type="spellStart"/>
      <w:r w:rsidRPr="00613808">
        <w:t>werden</w:t>
      </w:r>
      <w:proofErr w:type="spellEnd"/>
      <w:r w:rsidRPr="00613808">
        <w:t>.</w:t>
      </w:r>
    </w:p>
    <w:p w14:paraId="6F509B0E" w14:textId="77777777" w:rsidR="007D6C2B" w:rsidRPr="00613808" w:rsidRDefault="007D6C2B" w:rsidP="007D6C2B">
      <w:r w:rsidRPr="00613808">
        <w:t>・</w:t>
      </w:r>
      <w:r w:rsidRPr="00613808">
        <w:t xml:space="preserve">Sie </w:t>
      </w:r>
      <w:proofErr w:type="spellStart"/>
      <w:r w:rsidRPr="00613808">
        <w:t>wollten</w:t>
      </w:r>
      <w:proofErr w:type="spellEnd"/>
      <w:r w:rsidRPr="00613808">
        <w:t xml:space="preserve"> </w:t>
      </w:r>
      <w:proofErr w:type="spellStart"/>
      <w:r w:rsidRPr="00613808">
        <w:t>Gerichtsentscheidungen</w:t>
      </w:r>
      <w:proofErr w:type="spellEnd"/>
      <w:r w:rsidRPr="00613808">
        <w:t xml:space="preserve"> </w:t>
      </w:r>
      <w:proofErr w:type="spellStart"/>
      <w:r w:rsidRPr="00613808">
        <w:t>erreichen</w:t>
      </w:r>
      <w:proofErr w:type="spellEnd"/>
      <w:r w:rsidRPr="00613808">
        <w:t xml:space="preserve">, die für </w:t>
      </w:r>
      <w:proofErr w:type="spellStart"/>
      <w:r w:rsidRPr="00613808">
        <w:t>Arbeitnehmer</w:t>
      </w:r>
      <w:proofErr w:type="spellEnd"/>
      <w:r w:rsidRPr="00613808">
        <w:t xml:space="preserve"> </w:t>
      </w:r>
      <w:proofErr w:type="spellStart"/>
      <w:r w:rsidRPr="00613808">
        <w:t>insgesamt</w:t>
      </w:r>
      <w:proofErr w:type="spellEnd"/>
      <w:r w:rsidRPr="00613808">
        <w:t xml:space="preserve"> </w:t>
      </w:r>
      <w:proofErr w:type="spellStart"/>
      <w:r w:rsidRPr="00613808">
        <w:t>günstig</w:t>
      </w:r>
      <w:proofErr w:type="spellEnd"/>
      <w:r w:rsidRPr="00613808">
        <w:t xml:space="preserve"> </w:t>
      </w:r>
      <w:proofErr w:type="spellStart"/>
      <w:r w:rsidRPr="00613808">
        <w:t>sind</w:t>
      </w:r>
      <w:proofErr w:type="spellEnd"/>
      <w:r w:rsidRPr="00613808">
        <w:t xml:space="preserve">. </w:t>
      </w:r>
      <w:proofErr w:type="spellStart"/>
      <w:r w:rsidRPr="00613808">
        <w:t>Ihr</w:t>
      </w:r>
      <w:proofErr w:type="spellEnd"/>
      <w:r w:rsidRPr="00613808">
        <w:t xml:space="preserve"> Ziel war es, </w:t>
      </w:r>
      <w:proofErr w:type="spellStart"/>
      <w:r w:rsidRPr="00613808">
        <w:t>Präzedenzfälle</w:t>
      </w:r>
      <w:proofErr w:type="spellEnd"/>
      <w:r w:rsidRPr="00613808">
        <w:t xml:space="preserve"> für </w:t>
      </w:r>
      <w:proofErr w:type="spellStart"/>
      <w:r w:rsidRPr="00613808">
        <w:t>bestmögliche</w:t>
      </w:r>
      <w:proofErr w:type="spellEnd"/>
      <w:r w:rsidRPr="00613808">
        <w:t xml:space="preserve"> </w:t>
      </w:r>
      <w:proofErr w:type="spellStart"/>
      <w:r w:rsidRPr="00613808">
        <w:t>Vergleiche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schaffen</w:t>
      </w:r>
      <w:proofErr w:type="spellEnd"/>
      <w:r w:rsidRPr="00613808">
        <w:t>.</w:t>
      </w:r>
    </w:p>
    <w:p w14:paraId="02595E07" w14:textId="77777777" w:rsidR="007D6C2B" w:rsidRPr="00613808" w:rsidRDefault="007D6C2B" w:rsidP="007D6C2B"/>
    <w:p w14:paraId="3978E26C" w14:textId="77777777" w:rsidR="007D6C2B" w:rsidRPr="00613808" w:rsidRDefault="007D6C2B" w:rsidP="007D6C2B">
      <w:r w:rsidRPr="00613808">
        <w:t xml:space="preserve">　</w:t>
      </w:r>
      <w:proofErr w:type="spellStart"/>
      <w:r w:rsidRPr="00613808">
        <w:t>Betrachten</w:t>
      </w:r>
      <w:proofErr w:type="spellEnd"/>
      <w:r w:rsidRPr="00613808">
        <w:t xml:space="preserve"> Sie Fall 1 (Fall Nissan – </w:t>
      </w:r>
      <w:proofErr w:type="spellStart"/>
      <w:r w:rsidRPr="00613808">
        <w:t>Diskriminierung</w:t>
      </w:r>
      <w:proofErr w:type="spellEnd"/>
      <w:r w:rsidRPr="00613808">
        <w:t xml:space="preserve"> </w:t>
      </w:r>
      <w:proofErr w:type="spellStart"/>
      <w:r w:rsidRPr="00613808">
        <w:t>aufgrund</w:t>
      </w:r>
      <w:proofErr w:type="spellEnd"/>
      <w:r w:rsidRPr="00613808">
        <w:t xml:space="preserve"> des </w:t>
      </w:r>
      <w:proofErr w:type="spellStart"/>
      <w:r w:rsidRPr="00613808">
        <w:t>Rentenalters</w:t>
      </w:r>
      <w:proofErr w:type="spellEnd"/>
      <w:r w:rsidRPr="00613808">
        <w:t xml:space="preserve">) in </w:t>
      </w:r>
      <w:proofErr w:type="spellStart"/>
      <w:r w:rsidRPr="00613808">
        <w:t>Tabelle</w:t>
      </w:r>
      <w:proofErr w:type="spellEnd"/>
      <w:r w:rsidRPr="00613808">
        <w:t xml:space="preserve"> 1. Herr X in Fall 1, der </w:t>
      </w:r>
      <w:proofErr w:type="spellStart"/>
      <w:r w:rsidRPr="00613808">
        <w:t>zusammen</w:t>
      </w:r>
      <w:proofErr w:type="spellEnd"/>
      <w:r w:rsidRPr="00613808">
        <w:t xml:space="preserve"> </w:t>
      </w:r>
      <w:proofErr w:type="spellStart"/>
      <w:r w:rsidRPr="00613808">
        <w:t>mit</w:t>
      </w:r>
      <w:proofErr w:type="spellEnd"/>
      <w:r w:rsidRPr="00613808">
        <w:t xml:space="preserve"> </w:t>
      </w:r>
      <w:proofErr w:type="spellStart"/>
      <w:r w:rsidRPr="00613808">
        <w:t>seinem</w:t>
      </w:r>
      <w:proofErr w:type="spellEnd"/>
      <w:r w:rsidRPr="00613808">
        <w:t xml:space="preserve"> Ehemann </w:t>
      </w:r>
      <w:proofErr w:type="spellStart"/>
      <w:r w:rsidRPr="00613808">
        <w:t>im</w:t>
      </w:r>
      <w:proofErr w:type="spellEnd"/>
      <w:r w:rsidRPr="00613808">
        <w:t xml:space="preserve"> Alter von 30 Jahren </w:t>
      </w:r>
      <w:proofErr w:type="spellStart"/>
      <w:r w:rsidRPr="00613808">
        <w:t>im</w:t>
      </w:r>
      <w:proofErr w:type="spellEnd"/>
      <w:r w:rsidRPr="00613808">
        <w:t xml:space="preserve"> Rahmen </w:t>
      </w:r>
      <w:proofErr w:type="spellStart"/>
      <w:r w:rsidRPr="00613808">
        <w:t>einer</w:t>
      </w:r>
      <w:proofErr w:type="spellEnd"/>
      <w:r w:rsidRPr="00613808">
        <w:t xml:space="preserve"> </w:t>
      </w:r>
      <w:proofErr w:type="spellStart"/>
      <w:r w:rsidRPr="00613808">
        <w:t>Umstrukturierung</w:t>
      </w:r>
      <w:proofErr w:type="spellEnd"/>
      <w:r w:rsidRPr="00613808">
        <w:t xml:space="preserve"> </w:t>
      </w:r>
      <w:proofErr w:type="spellStart"/>
      <w:r w:rsidRPr="00613808">
        <w:t>entlassen</w:t>
      </w:r>
      <w:proofErr w:type="spellEnd"/>
      <w:r w:rsidRPr="00613808">
        <w:t xml:space="preserve"> </w:t>
      </w:r>
      <w:proofErr w:type="spellStart"/>
      <w:r w:rsidRPr="00613808">
        <w:t>wurde</w:t>
      </w:r>
      <w:proofErr w:type="spellEnd"/>
      <w:r w:rsidRPr="00613808">
        <w:t xml:space="preserve">, </w:t>
      </w:r>
      <w:proofErr w:type="spellStart"/>
      <w:r w:rsidRPr="00613808">
        <w:t>focht</w:t>
      </w:r>
      <w:proofErr w:type="spellEnd"/>
      <w:r w:rsidRPr="00613808">
        <w:t xml:space="preserve"> das </w:t>
      </w:r>
      <w:proofErr w:type="spellStart"/>
      <w:r w:rsidRPr="00613808">
        <w:t>Unternehmen</w:t>
      </w:r>
      <w:proofErr w:type="spellEnd"/>
      <w:r w:rsidRPr="00613808">
        <w:t xml:space="preserve"> </w:t>
      </w:r>
      <w:proofErr w:type="spellStart"/>
      <w:r w:rsidRPr="00613808">
        <w:t>über</w:t>
      </w:r>
      <w:proofErr w:type="spellEnd"/>
      <w:r w:rsidRPr="00613808">
        <w:t xml:space="preserve"> 31 Jahre lang bis </w:t>
      </w:r>
      <w:proofErr w:type="spellStart"/>
      <w:r w:rsidRPr="00613808">
        <w:t>zum</w:t>
      </w:r>
      <w:proofErr w:type="spellEnd"/>
      <w:r w:rsidRPr="00613808">
        <w:t xml:space="preserve"> </w:t>
      </w:r>
      <w:proofErr w:type="spellStart"/>
      <w:r w:rsidRPr="00613808">
        <w:t>Urteil</w:t>
      </w:r>
      <w:proofErr w:type="spellEnd"/>
      <w:r w:rsidRPr="00613808">
        <w:t xml:space="preserve"> des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Gerichtshofs</w:t>
      </w:r>
      <w:proofErr w:type="spellEnd"/>
      <w:r w:rsidRPr="00613808">
        <w:t xml:space="preserve"> an. </w:t>
      </w:r>
      <w:r w:rsidRPr="00613808">
        <w:lastRenderedPageBreak/>
        <w:t xml:space="preserve">Auf die Frage des </w:t>
      </w:r>
      <w:proofErr w:type="spellStart"/>
      <w:r w:rsidRPr="00613808">
        <w:t>Autors</w:t>
      </w:r>
      <w:proofErr w:type="spellEnd"/>
      <w:r w:rsidRPr="00613808">
        <w:t xml:space="preserve">, </w:t>
      </w:r>
      <w:proofErr w:type="spellStart"/>
      <w:r w:rsidRPr="00613808">
        <w:t>ob</w:t>
      </w:r>
      <w:proofErr w:type="spellEnd"/>
      <w:r w:rsidRPr="00613808">
        <w:t xml:space="preserve"> es alternative </w:t>
      </w:r>
      <w:proofErr w:type="spellStart"/>
      <w:r w:rsidRPr="00613808">
        <w:t>Methoden</w:t>
      </w:r>
      <w:proofErr w:type="spellEnd"/>
      <w:r w:rsidRPr="00613808">
        <w:t xml:space="preserve"> </w:t>
      </w:r>
      <w:proofErr w:type="spellStart"/>
      <w:r w:rsidRPr="00613808">
        <w:t>gegeben</w:t>
      </w:r>
      <w:proofErr w:type="spellEnd"/>
      <w:r w:rsidRPr="00613808">
        <w:t xml:space="preserve"> </w:t>
      </w:r>
      <w:proofErr w:type="spellStart"/>
      <w:r w:rsidRPr="00613808">
        <w:t>hätte</w:t>
      </w:r>
      <w:proofErr w:type="spellEnd"/>
      <w:r w:rsidRPr="00613808">
        <w:t xml:space="preserve">, </w:t>
      </w:r>
      <w:proofErr w:type="spellStart"/>
      <w:r w:rsidRPr="00613808">
        <w:t>antwortete</w:t>
      </w:r>
      <w:proofErr w:type="spellEnd"/>
      <w:r w:rsidRPr="00613808">
        <w:t xml:space="preserve"> Herr X: Das </w:t>
      </w:r>
      <w:proofErr w:type="spellStart"/>
      <w:r w:rsidRPr="00613808">
        <w:t>Unternehmen</w:t>
      </w:r>
      <w:proofErr w:type="spellEnd"/>
      <w:r w:rsidRPr="00613808">
        <w:t xml:space="preserve"> </w:t>
      </w:r>
      <w:proofErr w:type="spellStart"/>
      <w:r w:rsidRPr="00613808">
        <w:t>würde</w:t>
      </w:r>
      <w:proofErr w:type="spellEnd"/>
      <w:r w:rsidRPr="00613808">
        <w:t xml:space="preserve"> </w:t>
      </w:r>
      <w:proofErr w:type="spellStart"/>
      <w:r w:rsidRPr="00613808">
        <w:t>sich</w:t>
      </w:r>
      <w:proofErr w:type="spellEnd"/>
      <w:r w:rsidRPr="00613808">
        <w:t xml:space="preserve"> </w:t>
      </w:r>
      <w:proofErr w:type="spellStart"/>
      <w:r w:rsidRPr="00613808">
        <w:t>nur</w:t>
      </w:r>
      <w:proofErr w:type="spellEnd"/>
      <w:r w:rsidRPr="00613808">
        <w:t xml:space="preserve"> auf </w:t>
      </w:r>
      <w:proofErr w:type="spellStart"/>
      <w:r w:rsidRPr="00613808">
        <w:t>Veranlassung</w:t>
      </w:r>
      <w:proofErr w:type="spellEnd"/>
      <w:r w:rsidRPr="00613808">
        <w:t xml:space="preserve"> </w:t>
      </w:r>
      <w:proofErr w:type="spellStart"/>
      <w:r w:rsidRPr="00613808">
        <w:t>eines</w:t>
      </w:r>
      <w:proofErr w:type="spellEnd"/>
      <w:r w:rsidRPr="00613808">
        <w:t xml:space="preserve"> </w:t>
      </w:r>
      <w:proofErr w:type="spellStart"/>
      <w:r w:rsidRPr="00613808">
        <w:t>Dritten</w:t>
      </w:r>
      <w:proofErr w:type="spellEnd"/>
      <w:r w:rsidRPr="00613808">
        <w:t xml:space="preserve"> </w:t>
      </w:r>
      <w:proofErr w:type="spellStart"/>
      <w:r w:rsidRPr="00613808">
        <w:t>wie</w:t>
      </w:r>
      <w:proofErr w:type="spellEnd"/>
      <w:r w:rsidRPr="00613808">
        <w:t xml:space="preserve"> </w:t>
      </w:r>
      <w:proofErr w:type="spellStart"/>
      <w:r w:rsidRPr="00613808">
        <w:t>einem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</w:t>
      </w:r>
      <w:proofErr w:type="spellStart"/>
      <w:r w:rsidRPr="00613808">
        <w:t>oder</w:t>
      </w:r>
      <w:proofErr w:type="spellEnd"/>
      <w:r w:rsidRPr="00613808">
        <w:t xml:space="preserve"> </w:t>
      </w:r>
      <w:proofErr w:type="spellStart"/>
      <w:r w:rsidRPr="00613808">
        <w:t>einer</w:t>
      </w:r>
      <w:proofErr w:type="spellEnd"/>
      <w:r w:rsidRPr="00613808">
        <w:t xml:space="preserve"> </w:t>
      </w:r>
      <w:proofErr w:type="spellStart"/>
      <w:r w:rsidRPr="00613808">
        <w:t>Arbeitskommission</w:t>
      </w:r>
      <w:proofErr w:type="spellEnd"/>
      <w:r w:rsidRPr="00613808">
        <w:t xml:space="preserve"> </w:t>
      </w:r>
      <w:proofErr w:type="spellStart"/>
      <w:r w:rsidRPr="00613808">
        <w:t>engagieren</w:t>
      </w:r>
      <w:proofErr w:type="spellEnd"/>
      <w:r w:rsidRPr="00613808">
        <w:t xml:space="preserve">. Sie </w:t>
      </w:r>
      <w:proofErr w:type="spellStart"/>
      <w:r w:rsidRPr="00613808">
        <w:t>reichte</w:t>
      </w:r>
      <w:proofErr w:type="spellEnd"/>
      <w:r w:rsidRPr="00613808">
        <w:t xml:space="preserve"> die Klage </w:t>
      </w:r>
      <w:proofErr w:type="spellStart"/>
      <w:r w:rsidRPr="00613808">
        <w:t>ein</w:t>
      </w:r>
      <w:proofErr w:type="spellEnd"/>
      <w:r w:rsidRPr="00613808">
        <w:t xml:space="preserve">, </w:t>
      </w:r>
      <w:proofErr w:type="spellStart"/>
      <w:r w:rsidRPr="00613808">
        <w:t>weil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der </w:t>
      </w:r>
      <w:proofErr w:type="spellStart"/>
      <w:r w:rsidRPr="00613808">
        <w:t>Überzeugung</w:t>
      </w:r>
      <w:proofErr w:type="spellEnd"/>
      <w:r w:rsidRPr="00613808">
        <w:t xml:space="preserve"> war, „</w:t>
      </w:r>
      <w:proofErr w:type="spellStart"/>
      <w:r w:rsidRPr="00613808">
        <w:t>dass</w:t>
      </w:r>
      <w:proofErr w:type="spellEnd"/>
      <w:r w:rsidRPr="00613808">
        <w:t xml:space="preserve"> ich </w:t>
      </w:r>
      <w:proofErr w:type="spellStart"/>
      <w:r w:rsidRPr="00613808">
        <w:t>nichts</w:t>
      </w:r>
      <w:proofErr w:type="spellEnd"/>
      <w:r w:rsidRPr="00613808">
        <w:t xml:space="preserve"> </w:t>
      </w:r>
      <w:proofErr w:type="spellStart"/>
      <w:r w:rsidRPr="00613808">
        <w:t>falsch</w:t>
      </w:r>
      <w:proofErr w:type="spellEnd"/>
      <w:r w:rsidRPr="00613808">
        <w:t xml:space="preserve"> </w:t>
      </w:r>
      <w:proofErr w:type="spellStart"/>
      <w:r w:rsidRPr="00613808">
        <w:t>gemacht</w:t>
      </w:r>
      <w:proofErr w:type="spellEnd"/>
      <w:r w:rsidRPr="00613808">
        <w:t xml:space="preserve"> </w:t>
      </w:r>
      <w:proofErr w:type="spellStart"/>
      <w:r w:rsidRPr="00613808">
        <w:t>habe</w:t>
      </w:r>
      <w:proofErr w:type="spellEnd"/>
      <w:r w:rsidRPr="00613808">
        <w:t xml:space="preserve">”. </w:t>
      </w:r>
    </w:p>
    <w:p w14:paraId="6D9325B2" w14:textId="77777777" w:rsidR="007D6C2B" w:rsidRPr="00613808" w:rsidRDefault="007D6C2B" w:rsidP="007D6C2B">
      <w:r w:rsidRPr="00613808">
        <w:t xml:space="preserve">In </w:t>
      </w:r>
      <w:proofErr w:type="spellStart"/>
      <w:r w:rsidRPr="00613808">
        <w:t>Bezug</w:t>
      </w:r>
      <w:proofErr w:type="spellEnd"/>
      <w:r w:rsidRPr="00613808">
        <w:t xml:space="preserve"> auf das </w:t>
      </w:r>
      <w:proofErr w:type="spellStart"/>
      <w:r w:rsidRPr="00613808">
        <w:t>geschlechtsspezifische</w:t>
      </w:r>
      <w:proofErr w:type="spellEnd"/>
      <w:r w:rsidRPr="00613808">
        <w:t xml:space="preserve"> </w:t>
      </w:r>
      <w:proofErr w:type="spellStart"/>
      <w:r w:rsidRPr="00613808">
        <w:t>Rentensystem</w:t>
      </w:r>
      <w:proofErr w:type="spellEnd"/>
      <w:r w:rsidRPr="00613808">
        <w:t xml:space="preserve"> </w:t>
      </w:r>
      <w:proofErr w:type="spellStart"/>
      <w:r w:rsidRPr="00613808">
        <w:t>setzte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sich</w:t>
      </w:r>
      <w:proofErr w:type="spellEnd"/>
      <w:r w:rsidRPr="00613808">
        <w:t xml:space="preserve"> für den Slogan „Ein Jahr </w:t>
      </w:r>
      <w:proofErr w:type="spellStart"/>
      <w:r w:rsidRPr="00613808">
        <w:t>Diskriminierung</w:t>
      </w:r>
      <w:proofErr w:type="spellEnd"/>
      <w:r w:rsidRPr="00613808">
        <w:t xml:space="preserve"> </w:t>
      </w:r>
      <w:proofErr w:type="spellStart"/>
      <w:r w:rsidRPr="00613808">
        <w:t>führt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allgemeiner</w:t>
      </w:r>
      <w:proofErr w:type="spellEnd"/>
      <w:r w:rsidRPr="00613808">
        <w:t xml:space="preserve"> </w:t>
      </w:r>
      <w:proofErr w:type="spellStart"/>
      <w:r w:rsidRPr="00613808">
        <w:t>Diskriminierung</w:t>
      </w:r>
      <w:proofErr w:type="spellEnd"/>
      <w:r w:rsidRPr="00613808">
        <w:t xml:space="preserve">” </w:t>
      </w:r>
      <w:hyperlink r:id="rId8" w:anchor="_ftn1" w:history="1">
        <w:r w:rsidRPr="00613808">
          <w:rPr>
            <w:rStyle w:val="Hyperlink"/>
          </w:rPr>
          <w:t>[1]</w:t>
        </w:r>
      </w:hyperlink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und </w:t>
      </w:r>
      <w:proofErr w:type="spellStart"/>
      <w:r w:rsidRPr="00613808">
        <w:t>organisierte</w:t>
      </w:r>
      <w:proofErr w:type="spellEnd"/>
      <w:r w:rsidRPr="00613808">
        <w:t xml:space="preserve"> </w:t>
      </w:r>
      <w:proofErr w:type="spellStart"/>
      <w:r w:rsidRPr="00613808">
        <w:t>groß</w:t>
      </w:r>
      <w:proofErr w:type="spellEnd"/>
      <w:r w:rsidRPr="00613808">
        <w:t xml:space="preserve"> </w:t>
      </w:r>
      <w:proofErr w:type="spellStart"/>
      <w:r w:rsidRPr="00613808">
        <w:t>angelegte</w:t>
      </w:r>
      <w:proofErr w:type="spellEnd"/>
      <w:r w:rsidRPr="00613808">
        <w:t xml:space="preserve"> </w:t>
      </w:r>
      <w:proofErr w:type="spellStart"/>
      <w:r w:rsidRPr="00613808">
        <w:t>Demonstrationen</w:t>
      </w:r>
      <w:proofErr w:type="spellEnd"/>
      <w:r w:rsidRPr="00613808">
        <w:t xml:space="preserve"> in </w:t>
      </w:r>
      <w:proofErr w:type="spellStart"/>
      <w:r w:rsidRPr="00613808">
        <w:t>ganz</w:t>
      </w:r>
      <w:proofErr w:type="spellEnd"/>
      <w:r w:rsidRPr="00613808">
        <w:t xml:space="preserve"> Tokio, die </w:t>
      </w:r>
      <w:proofErr w:type="spellStart"/>
      <w:r w:rsidRPr="00613808">
        <w:t>ideologische</w:t>
      </w:r>
      <w:proofErr w:type="spellEnd"/>
      <w:r w:rsidRPr="00613808">
        <w:t xml:space="preserve"> </w:t>
      </w:r>
      <w:proofErr w:type="spellStart"/>
      <w:r w:rsidRPr="00613808">
        <w:t>Unterschiede</w:t>
      </w:r>
      <w:proofErr w:type="spellEnd"/>
      <w:r w:rsidRPr="00613808">
        <w:t xml:space="preserve"> </w:t>
      </w:r>
      <w:proofErr w:type="spellStart"/>
      <w:r w:rsidRPr="00613808">
        <w:t>überwanden</w:t>
      </w:r>
      <w:proofErr w:type="spellEnd"/>
      <w:r w:rsidRPr="00613808">
        <w:t xml:space="preserve">. Sie </w:t>
      </w:r>
      <w:proofErr w:type="spellStart"/>
      <w:r w:rsidRPr="00613808">
        <w:t>verfolgte</w:t>
      </w:r>
      <w:proofErr w:type="spellEnd"/>
      <w:r w:rsidRPr="00613808">
        <w:t xml:space="preserve"> den </w:t>
      </w:r>
      <w:proofErr w:type="spellStart"/>
      <w:r w:rsidRPr="00613808">
        <w:t>Gerichtsprozess</w:t>
      </w:r>
      <w:proofErr w:type="spellEnd"/>
      <w:r w:rsidRPr="00613808">
        <w:t xml:space="preserve"> und </w:t>
      </w:r>
      <w:proofErr w:type="spellStart"/>
      <w:r w:rsidRPr="00613808">
        <w:t>baute</w:t>
      </w:r>
      <w:proofErr w:type="spellEnd"/>
      <w:r w:rsidRPr="00613808">
        <w:t xml:space="preserve"> </w:t>
      </w:r>
      <w:proofErr w:type="spellStart"/>
      <w:r w:rsidRPr="00613808">
        <w:t>gleichzeitig</w:t>
      </w:r>
      <w:proofErr w:type="spellEnd"/>
      <w:r w:rsidRPr="00613808">
        <w:t xml:space="preserve"> </w:t>
      </w:r>
      <w:proofErr w:type="spellStart"/>
      <w:r w:rsidRPr="00613808">
        <w:t>diese</w:t>
      </w:r>
      <w:proofErr w:type="spellEnd"/>
      <w:r w:rsidRPr="00613808">
        <w:t xml:space="preserve"> </w:t>
      </w:r>
      <w:proofErr w:type="spellStart"/>
      <w:r w:rsidRPr="00613808">
        <w:t>umfangreiche</w:t>
      </w:r>
      <w:proofErr w:type="spellEnd"/>
      <w:r w:rsidRPr="00613808">
        <w:t xml:space="preserve"> </w:t>
      </w:r>
      <w:proofErr w:type="spellStart"/>
      <w:r w:rsidRPr="00613808">
        <w:t>Bewegung</w:t>
      </w:r>
      <w:proofErr w:type="spellEnd"/>
      <w:r w:rsidRPr="00613808">
        <w:t xml:space="preserve"> auf. Die </w:t>
      </w:r>
      <w:proofErr w:type="spellStart"/>
      <w:r w:rsidRPr="00613808">
        <w:t>Bewegung</w:t>
      </w:r>
      <w:proofErr w:type="spellEnd"/>
      <w:r w:rsidRPr="00613808">
        <w:t xml:space="preserve"> </w:t>
      </w:r>
      <w:proofErr w:type="spellStart"/>
      <w:r w:rsidRPr="00613808">
        <w:t>wurde</w:t>
      </w:r>
      <w:proofErr w:type="spellEnd"/>
      <w:r w:rsidRPr="00613808">
        <w:t xml:space="preserve"> in </w:t>
      </w:r>
      <w:proofErr w:type="spellStart"/>
      <w:r w:rsidRPr="00613808">
        <w:t>Sozialkundebüchern</w:t>
      </w:r>
      <w:proofErr w:type="spellEnd"/>
      <w:r w:rsidRPr="00613808">
        <w:t xml:space="preserve"> </w:t>
      </w:r>
      <w:proofErr w:type="spellStart"/>
      <w:r w:rsidRPr="00613808">
        <w:t>mit</w:t>
      </w:r>
      <w:proofErr w:type="spellEnd"/>
      <w:r w:rsidRPr="00613808">
        <w:t xml:space="preserve"> Fotos </w:t>
      </w:r>
      <w:proofErr w:type="spellStart"/>
      <w:r w:rsidRPr="00613808">
        <w:t>vorgestellt</w:t>
      </w:r>
      <w:proofErr w:type="spellEnd"/>
      <w:r w:rsidRPr="00613808">
        <w:t>.</w:t>
      </w:r>
    </w:p>
    <w:p w14:paraId="411A140D" w14:textId="77777777" w:rsidR="007D6C2B" w:rsidRPr="00613808" w:rsidRDefault="007D6C2B" w:rsidP="007D6C2B">
      <w:r w:rsidRPr="00613808">
        <w:t xml:space="preserve">Auf die Frage </w:t>
      </w:r>
      <w:proofErr w:type="spellStart"/>
      <w:r w:rsidRPr="00613808">
        <w:t>nach</w:t>
      </w:r>
      <w:proofErr w:type="spellEnd"/>
      <w:r w:rsidRPr="00613808">
        <w:t xml:space="preserve"> den </w:t>
      </w:r>
      <w:proofErr w:type="spellStart"/>
      <w:r w:rsidRPr="00613808">
        <w:t>Schwierigkeiten</w:t>
      </w:r>
      <w:proofErr w:type="spellEnd"/>
      <w:r w:rsidRPr="00613808">
        <w:t xml:space="preserve"> der </w:t>
      </w:r>
      <w:proofErr w:type="spellStart"/>
      <w:r w:rsidRPr="00613808">
        <w:t>Bewegung</w:t>
      </w:r>
      <w:proofErr w:type="spellEnd"/>
      <w:r w:rsidRPr="00613808">
        <w:t xml:space="preserve"> und des </w:t>
      </w:r>
      <w:proofErr w:type="spellStart"/>
      <w:r w:rsidRPr="00613808">
        <w:t>Gerichtsverfahrens</w:t>
      </w:r>
      <w:proofErr w:type="spellEnd"/>
      <w:r w:rsidRPr="00613808">
        <w:t xml:space="preserve"> </w:t>
      </w:r>
      <w:proofErr w:type="spellStart"/>
      <w:r w:rsidRPr="00613808">
        <w:t>antwortete</w:t>
      </w:r>
      <w:proofErr w:type="spellEnd"/>
      <w:r w:rsidRPr="00613808">
        <w:t xml:space="preserve"> Herr X </w:t>
      </w:r>
      <w:proofErr w:type="spellStart"/>
      <w:r w:rsidRPr="00613808">
        <w:t>wie</w:t>
      </w:r>
      <w:proofErr w:type="spellEnd"/>
      <w:r w:rsidRPr="00613808">
        <w:t xml:space="preserve"> </w:t>
      </w:r>
      <w:proofErr w:type="spellStart"/>
      <w:r w:rsidRPr="00613808">
        <w:t>folgt</w:t>
      </w:r>
      <w:proofErr w:type="spellEnd"/>
      <w:r w:rsidRPr="00613808">
        <w:t xml:space="preserve">. </w:t>
      </w:r>
      <w:proofErr w:type="gramStart"/>
      <w:r w:rsidRPr="00613808">
        <w:t>Als</w:t>
      </w:r>
      <w:proofErr w:type="gramEnd"/>
      <w:r w:rsidRPr="00613808">
        <w:t xml:space="preserve"> sein Sohn </w:t>
      </w:r>
      <w:proofErr w:type="spellStart"/>
      <w:r w:rsidRPr="00613808">
        <w:t>Probleme</w:t>
      </w:r>
      <w:proofErr w:type="spellEnd"/>
      <w:r w:rsidRPr="00613808">
        <w:t xml:space="preserve"> in der Schule </w:t>
      </w:r>
      <w:proofErr w:type="spellStart"/>
      <w:r w:rsidRPr="00613808">
        <w:t>hatte</w:t>
      </w:r>
      <w:proofErr w:type="spellEnd"/>
      <w:r w:rsidRPr="00613808">
        <w:t xml:space="preserve">, </w:t>
      </w:r>
      <w:proofErr w:type="spellStart"/>
      <w:r w:rsidRPr="00613808">
        <w:t>wollte</w:t>
      </w:r>
      <w:proofErr w:type="spellEnd"/>
      <w:r w:rsidRPr="00613808">
        <w:t xml:space="preserve"> er für </w:t>
      </w:r>
      <w:proofErr w:type="spellStart"/>
      <w:r w:rsidRPr="00613808">
        <w:t>ihn</w:t>
      </w:r>
      <w:proofErr w:type="spellEnd"/>
      <w:r w:rsidRPr="00613808">
        <w:t xml:space="preserve"> da sein, </w:t>
      </w:r>
      <w:proofErr w:type="spellStart"/>
      <w:r w:rsidRPr="00613808">
        <w:t>aber</w:t>
      </w:r>
      <w:proofErr w:type="spellEnd"/>
      <w:r w:rsidRPr="00613808">
        <w:t xml:space="preserve"> da er </w:t>
      </w:r>
      <w:proofErr w:type="spellStart"/>
      <w:r w:rsidRPr="00613808">
        <w:t>mit</w:t>
      </w:r>
      <w:proofErr w:type="spellEnd"/>
      <w:r w:rsidRPr="00613808">
        <w:t xml:space="preserve"> der </w:t>
      </w:r>
      <w:proofErr w:type="spellStart"/>
      <w:r w:rsidRPr="00613808">
        <w:t>Bewegung</w:t>
      </w:r>
      <w:proofErr w:type="spellEnd"/>
      <w:r w:rsidRPr="00613808">
        <w:t xml:space="preserve"> und dem </w:t>
      </w:r>
      <w:proofErr w:type="spellStart"/>
      <w:r w:rsidRPr="00613808">
        <w:t>Gerichtsverfahren</w:t>
      </w:r>
      <w:proofErr w:type="spellEnd"/>
      <w:r w:rsidRPr="00613808">
        <w:t xml:space="preserve"> </w:t>
      </w:r>
      <w:proofErr w:type="spellStart"/>
      <w:r w:rsidRPr="00613808">
        <w:t>beschäftigt</w:t>
      </w:r>
      <w:proofErr w:type="spellEnd"/>
      <w:r w:rsidRPr="00613808">
        <w:t xml:space="preserve"> war, </w:t>
      </w:r>
      <w:proofErr w:type="spellStart"/>
      <w:r w:rsidRPr="00613808">
        <w:t>konnte</w:t>
      </w:r>
      <w:proofErr w:type="spellEnd"/>
      <w:r w:rsidRPr="00613808">
        <w:t xml:space="preserve"> er nicht für seinen Sohn da sein, und das war </w:t>
      </w:r>
      <w:proofErr w:type="spellStart"/>
      <w:r w:rsidRPr="00613808">
        <w:t>schmerzhaft</w:t>
      </w:r>
      <w:proofErr w:type="spellEnd"/>
      <w:r w:rsidRPr="00613808">
        <w:t xml:space="preserve">. Das war das </w:t>
      </w:r>
      <w:proofErr w:type="spellStart"/>
      <w:r w:rsidRPr="00613808">
        <w:t>Ausmaß</w:t>
      </w:r>
      <w:proofErr w:type="spellEnd"/>
      <w:r w:rsidRPr="00613808">
        <w:t xml:space="preserve"> der </w:t>
      </w:r>
      <w:proofErr w:type="spellStart"/>
      <w:r w:rsidRPr="00613808">
        <w:t>Schwierigkeiten</w:t>
      </w:r>
      <w:proofErr w:type="spellEnd"/>
      <w:r w:rsidRPr="00613808">
        <w:t xml:space="preserve">, </w:t>
      </w:r>
      <w:proofErr w:type="spellStart"/>
      <w:r w:rsidRPr="00613808">
        <w:t>antwortete</w:t>
      </w:r>
      <w:proofErr w:type="spellEnd"/>
      <w:r w:rsidRPr="00613808">
        <w:t xml:space="preserve"> Herr X. Die Treffen </w:t>
      </w:r>
      <w:proofErr w:type="spellStart"/>
      <w:r w:rsidRPr="00613808">
        <w:t>zur</w:t>
      </w:r>
      <w:proofErr w:type="spellEnd"/>
      <w:r w:rsidRPr="00613808">
        <w:t xml:space="preserve"> </w:t>
      </w:r>
      <w:proofErr w:type="spellStart"/>
      <w:r w:rsidRPr="00613808">
        <w:t>Bewegung</w:t>
      </w:r>
      <w:proofErr w:type="spellEnd"/>
      <w:r w:rsidRPr="00613808">
        <w:t xml:space="preserve"> und </w:t>
      </w:r>
      <w:proofErr w:type="spellStart"/>
      <w:r w:rsidRPr="00613808">
        <w:t>zum</w:t>
      </w:r>
      <w:proofErr w:type="spellEnd"/>
      <w:r w:rsidRPr="00613808">
        <w:t xml:space="preserve"> </w:t>
      </w:r>
      <w:proofErr w:type="spellStart"/>
      <w:r w:rsidRPr="00613808">
        <w:t>Gerichtsverfahren</w:t>
      </w:r>
      <w:proofErr w:type="spellEnd"/>
      <w:r w:rsidRPr="00613808">
        <w:t xml:space="preserve"> </w:t>
      </w:r>
      <w:proofErr w:type="spellStart"/>
      <w:r w:rsidRPr="00613808">
        <w:t>fanden</w:t>
      </w:r>
      <w:proofErr w:type="spellEnd"/>
      <w:r w:rsidRPr="00613808">
        <w:t xml:space="preserve"> oft abends </w:t>
      </w:r>
      <w:proofErr w:type="spellStart"/>
      <w:r w:rsidRPr="00613808">
        <w:t>bei</w:t>
      </w:r>
      <w:proofErr w:type="spellEnd"/>
      <w:r w:rsidRPr="00613808">
        <w:t xml:space="preserve"> </w:t>
      </w:r>
      <w:proofErr w:type="spellStart"/>
      <w:r w:rsidRPr="00613808">
        <w:t>einem</w:t>
      </w:r>
      <w:proofErr w:type="spellEnd"/>
      <w:r w:rsidRPr="00613808">
        <w:t xml:space="preserve"> </w:t>
      </w:r>
      <w:proofErr w:type="spellStart"/>
      <w:r w:rsidRPr="00613808">
        <w:t>Umtrunk</w:t>
      </w:r>
      <w:proofErr w:type="spellEnd"/>
      <w:r w:rsidRPr="00613808">
        <w:t xml:space="preserve"> </w:t>
      </w:r>
      <w:proofErr w:type="spellStart"/>
      <w:r w:rsidRPr="00613808">
        <w:t>statt</w:t>
      </w:r>
      <w:proofErr w:type="spellEnd"/>
      <w:r w:rsidRPr="00613808">
        <w:t xml:space="preserve">. Bei </w:t>
      </w:r>
      <w:proofErr w:type="spellStart"/>
      <w:r w:rsidRPr="00613808">
        <w:t>solchen</w:t>
      </w:r>
      <w:proofErr w:type="spellEnd"/>
      <w:r w:rsidRPr="00613808">
        <w:t xml:space="preserve"> </w:t>
      </w:r>
      <w:proofErr w:type="spellStart"/>
      <w:r w:rsidRPr="00613808">
        <w:t>Zusammenkünften</w:t>
      </w:r>
      <w:proofErr w:type="spellEnd"/>
      <w:r w:rsidRPr="00613808">
        <w:t xml:space="preserve"> </w:t>
      </w:r>
      <w:proofErr w:type="spellStart"/>
      <w:r w:rsidRPr="00613808">
        <w:t>wäre</w:t>
      </w:r>
      <w:proofErr w:type="spellEnd"/>
      <w:r w:rsidRPr="00613808">
        <w:t xml:space="preserve"> es </w:t>
      </w:r>
      <w:proofErr w:type="spellStart"/>
      <w:r w:rsidRPr="00613808">
        <w:t>unhöflich</w:t>
      </w:r>
      <w:proofErr w:type="spellEnd"/>
      <w:r w:rsidRPr="00613808">
        <w:t xml:space="preserve"> </w:t>
      </w:r>
      <w:proofErr w:type="spellStart"/>
      <w:r w:rsidRPr="00613808">
        <w:t>gewesen</w:t>
      </w:r>
      <w:proofErr w:type="spellEnd"/>
      <w:r w:rsidRPr="00613808">
        <w:t xml:space="preserve">, </w:t>
      </w:r>
      <w:proofErr w:type="spellStart"/>
      <w:r w:rsidRPr="00613808">
        <w:t>wenn</w:t>
      </w:r>
      <w:proofErr w:type="spellEnd"/>
      <w:r w:rsidRPr="00613808">
        <w:t xml:space="preserve"> Herr X, der </w:t>
      </w:r>
      <w:proofErr w:type="spellStart"/>
      <w:r w:rsidRPr="00613808">
        <w:t>Betroffene</w:t>
      </w:r>
      <w:proofErr w:type="spellEnd"/>
      <w:r w:rsidRPr="00613808">
        <w:t xml:space="preserve">, </w:t>
      </w:r>
      <w:proofErr w:type="spellStart"/>
      <w:r w:rsidRPr="00613808">
        <w:t>vor</w:t>
      </w:r>
      <w:proofErr w:type="spellEnd"/>
      <w:r w:rsidRPr="00613808">
        <w:t xml:space="preserve"> den </w:t>
      </w:r>
      <w:proofErr w:type="spellStart"/>
      <w:r w:rsidRPr="00613808">
        <w:t>Unterstützern</w:t>
      </w:r>
      <w:proofErr w:type="spellEnd"/>
      <w:r w:rsidRPr="00613808">
        <w:t xml:space="preserve"> </w:t>
      </w:r>
      <w:proofErr w:type="spellStart"/>
      <w:r w:rsidRPr="00613808">
        <w:t>gegangen</w:t>
      </w:r>
      <w:proofErr w:type="spellEnd"/>
      <w:r w:rsidRPr="00613808">
        <w:t xml:space="preserve"> </w:t>
      </w:r>
      <w:proofErr w:type="spellStart"/>
      <w:r w:rsidRPr="00613808">
        <w:t>wäre</w:t>
      </w:r>
      <w:proofErr w:type="spellEnd"/>
      <w:r w:rsidRPr="00613808">
        <w:t xml:space="preserve">. Daher war es nicht </w:t>
      </w:r>
      <w:proofErr w:type="spellStart"/>
      <w:r w:rsidRPr="00613808">
        <w:t>ungewöhnlich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Herr X erst </w:t>
      </w:r>
      <w:proofErr w:type="spellStart"/>
      <w:r w:rsidRPr="00613808">
        <w:t>nach</w:t>
      </w:r>
      <w:proofErr w:type="spellEnd"/>
      <w:r w:rsidRPr="00613808">
        <w:t xml:space="preserve"> 2 Uhr morgens </w:t>
      </w:r>
      <w:proofErr w:type="spellStart"/>
      <w:r w:rsidRPr="00613808">
        <w:t>nach</w:t>
      </w:r>
      <w:proofErr w:type="spellEnd"/>
      <w:r w:rsidRPr="00613808">
        <w:t xml:space="preserve"> Hause </w:t>
      </w:r>
      <w:proofErr w:type="spellStart"/>
      <w:r w:rsidRPr="00613808">
        <w:t>kam</w:t>
      </w:r>
      <w:proofErr w:type="spellEnd"/>
      <w:r w:rsidRPr="00613808">
        <w:t xml:space="preserve">. Er </w:t>
      </w:r>
      <w:proofErr w:type="spellStart"/>
      <w:r w:rsidRPr="00613808">
        <w:t>erzählte</w:t>
      </w:r>
      <w:proofErr w:type="spellEnd"/>
      <w:r w:rsidRPr="00613808">
        <w:t xml:space="preserve"> mir, </w:t>
      </w:r>
      <w:proofErr w:type="spellStart"/>
      <w:r w:rsidRPr="00613808">
        <w:t>dass</w:t>
      </w:r>
      <w:proofErr w:type="spellEnd"/>
      <w:r w:rsidRPr="00613808">
        <w:t xml:space="preserve"> er seinen Sohn in </w:t>
      </w:r>
      <w:proofErr w:type="spellStart"/>
      <w:r w:rsidRPr="00613808">
        <w:t>dieser</w:t>
      </w:r>
      <w:proofErr w:type="spellEnd"/>
      <w:r w:rsidRPr="00613808">
        <w:t xml:space="preserve"> </w:t>
      </w:r>
      <w:proofErr w:type="spellStart"/>
      <w:r w:rsidRPr="00613808">
        <w:t>schwierigen</w:t>
      </w:r>
      <w:proofErr w:type="spellEnd"/>
      <w:r w:rsidRPr="00613808">
        <w:t xml:space="preserve"> Zeit nicht so </w:t>
      </w:r>
      <w:proofErr w:type="spellStart"/>
      <w:r w:rsidRPr="00613808">
        <w:t>unterstützen</w:t>
      </w:r>
      <w:proofErr w:type="spellEnd"/>
      <w:r w:rsidRPr="00613808">
        <w:t xml:space="preserve"> </w:t>
      </w:r>
      <w:proofErr w:type="spellStart"/>
      <w:r w:rsidRPr="00613808">
        <w:t>konnte</w:t>
      </w:r>
      <w:proofErr w:type="spellEnd"/>
      <w:r w:rsidRPr="00613808">
        <w:t xml:space="preserve">, </w:t>
      </w:r>
      <w:proofErr w:type="spellStart"/>
      <w:r w:rsidRPr="00613808">
        <w:t>wie</w:t>
      </w:r>
      <w:proofErr w:type="spellEnd"/>
      <w:r w:rsidRPr="00613808">
        <w:t xml:space="preserve"> er es gerne </w:t>
      </w:r>
      <w:proofErr w:type="spellStart"/>
      <w:r w:rsidRPr="00613808">
        <w:t>getan</w:t>
      </w:r>
      <w:proofErr w:type="spellEnd"/>
      <w:r w:rsidRPr="00613808">
        <w:t xml:space="preserve"> </w:t>
      </w:r>
      <w:proofErr w:type="spellStart"/>
      <w:r w:rsidRPr="00613808">
        <w:t>hätte</w:t>
      </w:r>
      <w:proofErr w:type="spellEnd"/>
      <w:r w:rsidRPr="00613808">
        <w:t xml:space="preserve">, und </w:t>
      </w:r>
      <w:proofErr w:type="spellStart"/>
      <w:r w:rsidRPr="00613808">
        <w:t>dass</w:t>
      </w:r>
      <w:proofErr w:type="spellEnd"/>
      <w:r w:rsidRPr="00613808">
        <w:t xml:space="preserve"> dies das </w:t>
      </w:r>
      <w:proofErr w:type="spellStart"/>
      <w:r w:rsidRPr="00613808">
        <w:t>Einzige</w:t>
      </w:r>
      <w:proofErr w:type="spellEnd"/>
      <w:r w:rsidRPr="00613808">
        <w:t xml:space="preserve"> war, was </w:t>
      </w:r>
      <w:proofErr w:type="spellStart"/>
      <w:r w:rsidRPr="00613808">
        <w:t>ihm</w:t>
      </w:r>
      <w:proofErr w:type="spellEnd"/>
      <w:r w:rsidRPr="00613808">
        <w:t xml:space="preserve"> </w:t>
      </w:r>
      <w:proofErr w:type="spellStart"/>
      <w:r w:rsidRPr="00613808">
        <w:t>wehtat</w:t>
      </w:r>
      <w:proofErr w:type="spellEnd"/>
      <w:r w:rsidRPr="00613808">
        <w:t>.</w:t>
      </w:r>
    </w:p>
    <w:p w14:paraId="20801044" w14:textId="77777777" w:rsidR="007D6C2B" w:rsidRPr="00613808" w:rsidRDefault="007D6C2B" w:rsidP="007D6C2B">
      <w:r w:rsidRPr="00613808">
        <w:t xml:space="preserve">Der </w:t>
      </w:r>
      <w:proofErr w:type="spellStart"/>
      <w:r w:rsidRPr="00613808">
        <w:t>Gerichtsprozess</w:t>
      </w:r>
      <w:proofErr w:type="spellEnd"/>
      <w:r w:rsidRPr="00613808">
        <w:t xml:space="preserve"> und das Engagement von Herrn X </w:t>
      </w:r>
      <w:proofErr w:type="spellStart"/>
      <w:r w:rsidRPr="00613808">
        <w:t>führten</w:t>
      </w:r>
      <w:proofErr w:type="spellEnd"/>
      <w:r w:rsidRPr="00613808">
        <w:t xml:space="preserve"> </w:t>
      </w:r>
      <w:proofErr w:type="spellStart"/>
      <w:r w:rsidRPr="00613808">
        <w:t>dazu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unterschiedliche</w:t>
      </w:r>
      <w:proofErr w:type="spellEnd"/>
      <w:r w:rsidRPr="00613808">
        <w:t xml:space="preserve"> </w:t>
      </w:r>
      <w:proofErr w:type="spellStart"/>
      <w:r w:rsidRPr="00613808">
        <w:t>Rentenalter</w:t>
      </w:r>
      <w:proofErr w:type="spellEnd"/>
      <w:r w:rsidRPr="00613808">
        <w:t xml:space="preserve"> für </w:t>
      </w:r>
      <w:proofErr w:type="spellStart"/>
      <w:r w:rsidRPr="00613808">
        <w:t>Männer</w:t>
      </w:r>
      <w:proofErr w:type="spellEnd"/>
      <w:r w:rsidRPr="00613808">
        <w:t xml:space="preserve"> und Frauen </w:t>
      </w:r>
      <w:proofErr w:type="spellStart"/>
      <w:r w:rsidRPr="00613808">
        <w:t>als</w:t>
      </w:r>
      <w:proofErr w:type="spellEnd"/>
      <w:r w:rsidRPr="00613808">
        <w:t xml:space="preserve"> </w:t>
      </w:r>
      <w:proofErr w:type="spellStart"/>
      <w:r w:rsidRPr="00613808">
        <w:t>unvereinbar</w:t>
      </w:r>
      <w:proofErr w:type="spellEnd"/>
      <w:r w:rsidRPr="00613808">
        <w:t xml:space="preserve"> </w:t>
      </w:r>
      <w:proofErr w:type="spellStart"/>
      <w:r w:rsidRPr="00613808">
        <w:t>mit</w:t>
      </w:r>
      <w:proofErr w:type="spellEnd"/>
      <w:r w:rsidRPr="00613808">
        <w:t xml:space="preserve"> der </w:t>
      </w:r>
      <w:proofErr w:type="spellStart"/>
      <w:r w:rsidRPr="00613808">
        <w:t>öffentlichen</w:t>
      </w:r>
      <w:proofErr w:type="spellEnd"/>
      <w:r w:rsidRPr="00613808">
        <w:t xml:space="preserve"> Ordnung und den </w:t>
      </w:r>
      <w:proofErr w:type="spellStart"/>
      <w:r w:rsidRPr="00613808">
        <w:t>guten</w:t>
      </w:r>
      <w:proofErr w:type="spellEnd"/>
      <w:r w:rsidRPr="00613808">
        <w:t xml:space="preserve"> </w:t>
      </w:r>
      <w:proofErr w:type="spellStart"/>
      <w:r w:rsidRPr="00613808">
        <w:t>Sitten</w:t>
      </w:r>
      <w:proofErr w:type="spellEnd"/>
      <w:r w:rsidRPr="00613808">
        <w:t xml:space="preserve"> für </w:t>
      </w:r>
      <w:proofErr w:type="spellStart"/>
      <w:r w:rsidRPr="00613808">
        <w:t>ungültig</w:t>
      </w:r>
      <w:proofErr w:type="spellEnd"/>
      <w:r w:rsidRPr="00613808">
        <w:t xml:space="preserve"> </w:t>
      </w:r>
      <w:proofErr w:type="spellStart"/>
      <w:r w:rsidRPr="00613808">
        <w:t>erklärt</w:t>
      </w:r>
      <w:proofErr w:type="spellEnd"/>
      <w:r w:rsidRPr="00613808">
        <w:t xml:space="preserve"> </w:t>
      </w:r>
      <w:proofErr w:type="spellStart"/>
      <w:r w:rsidRPr="00613808">
        <w:t>wurden</w:t>
      </w:r>
      <w:proofErr w:type="spellEnd"/>
      <w:r w:rsidRPr="00613808">
        <w:t xml:space="preserve">. Als das </w:t>
      </w:r>
      <w:proofErr w:type="spellStart"/>
      <w:r w:rsidRPr="00613808">
        <w:t>Urteil</w:t>
      </w:r>
      <w:proofErr w:type="spellEnd"/>
      <w:r w:rsidRPr="00613808">
        <w:t xml:space="preserve"> des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Gerichtshofs</w:t>
      </w:r>
      <w:proofErr w:type="spellEnd"/>
      <w:r w:rsidRPr="00613808">
        <w:t xml:space="preserve"> </w:t>
      </w:r>
      <w:proofErr w:type="spellStart"/>
      <w:r w:rsidRPr="00613808">
        <w:t>verkündet</w:t>
      </w:r>
      <w:proofErr w:type="spellEnd"/>
      <w:r w:rsidRPr="00613808">
        <w:t xml:space="preserve"> </w:t>
      </w:r>
      <w:proofErr w:type="spellStart"/>
      <w:r w:rsidRPr="00613808">
        <w:t>wurde</w:t>
      </w:r>
      <w:proofErr w:type="spellEnd"/>
      <w:r w:rsidRPr="00613808">
        <w:t xml:space="preserve">, war Herr X </w:t>
      </w:r>
      <w:proofErr w:type="spellStart"/>
      <w:r w:rsidRPr="00613808">
        <w:t>jedoch</w:t>
      </w:r>
      <w:proofErr w:type="spellEnd"/>
      <w:r w:rsidRPr="00613808">
        <w:t xml:space="preserve"> </w:t>
      </w:r>
      <w:proofErr w:type="spellStart"/>
      <w:r w:rsidRPr="00613808">
        <w:t>bereits</w:t>
      </w:r>
      <w:proofErr w:type="spellEnd"/>
      <w:r w:rsidRPr="00613808">
        <w:t xml:space="preserve"> 61 Jahre alt. Selbst </w:t>
      </w:r>
      <w:proofErr w:type="spellStart"/>
      <w:r w:rsidRPr="00613808">
        <w:t>mit</w:t>
      </w:r>
      <w:proofErr w:type="spellEnd"/>
      <w:r w:rsidRPr="00613808">
        <w:t xml:space="preserve"> dem </w:t>
      </w:r>
      <w:proofErr w:type="spellStart"/>
      <w:r w:rsidRPr="00613808">
        <w:t>Urteil</w:t>
      </w:r>
      <w:proofErr w:type="spellEnd"/>
      <w:r w:rsidRPr="00613808">
        <w:t xml:space="preserve"> des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Gerichtshofs</w:t>
      </w:r>
      <w:proofErr w:type="spellEnd"/>
      <w:r w:rsidRPr="00613808">
        <w:t xml:space="preserve">, das seine </w:t>
      </w:r>
      <w:proofErr w:type="spellStart"/>
      <w:r w:rsidRPr="00613808">
        <w:t>Entlassung</w:t>
      </w:r>
      <w:proofErr w:type="spellEnd"/>
      <w:r w:rsidRPr="00613808">
        <w:t xml:space="preserve"> für </w:t>
      </w:r>
      <w:proofErr w:type="spellStart"/>
      <w:r w:rsidRPr="00613808">
        <w:t>ungültig</w:t>
      </w:r>
      <w:proofErr w:type="spellEnd"/>
      <w:r w:rsidRPr="00613808">
        <w:t xml:space="preserve"> </w:t>
      </w:r>
      <w:proofErr w:type="spellStart"/>
      <w:r w:rsidRPr="00613808">
        <w:t>erklärte</w:t>
      </w:r>
      <w:proofErr w:type="spellEnd"/>
      <w:r w:rsidRPr="00613808">
        <w:t xml:space="preserve">, </w:t>
      </w:r>
      <w:proofErr w:type="spellStart"/>
      <w:r w:rsidRPr="00613808">
        <w:t>konnte</w:t>
      </w:r>
      <w:proofErr w:type="spellEnd"/>
      <w:r w:rsidRPr="00613808">
        <w:t xml:space="preserve"> er nicht </w:t>
      </w:r>
      <w:proofErr w:type="spellStart"/>
      <w:r w:rsidRPr="00613808">
        <w:t>rechtzeitig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</w:t>
      </w:r>
      <w:proofErr w:type="spellStart"/>
      <w:r w:rsidRPr="00613808">
        <w:t>Erreichen</w:t>
      </w:r>
      <w:proofErr w:type="spellEnd"/>
      <w:r w:rsidRPr="00613808">
        <w:t xml:space="preserve"> des </w:t>
      </w:r>
      <w:proofErr w:type="spellStart"/>
      <w:r w:rsidRPr="00613808">
        <w:t>Rentenalters</w:t>
      </w:r>
      <w:proofErr w:type="spellEnd"/>
      <w:r w:rsidRPr="00613808">
        <w:t xml:space="preserve"> an seinen </w:t>
      </w:r>
      <w:proofErr w:type="spellStart"/>
      <w:r w:rsidRPr="00613808">
        <w:t>Arbeitsplatz</w:t>
      </w:r>
      <w:proofErr w:type="spellEnd"/>
      <w:r w:rsidRPr="00613808">
        <w:t xml:space="preserve"> </w:t>
      </w:r>
      <w:proofErr w:type="spellStart"/>
      <w:r w:rsidRPr="00613808">
        <w:t>zurückkehren</w:t>
      </w:r>
      <w:proofErr w:type="spellEnd"/>
      <w:r w:rsidRPr="00613808">
        <w:t xml:space="preserve">. Herr X und seine </w:t>
      </w:r>
      <w:proofErr w:type="spellStart"/>
      <w:r w:rsidRPr="00613808">
        <w:t>Kollegen</w:t>
      </w:r>
      <w:proofErr w:type="spellEnd"/>
      <w:r w:rsidRPr="00613808">
        <w:t xml:space="preserve"> </w:t>
      </w:r>
      <w:proofErr w:type="spellStart"/>
      <w:r w:rsidRPr="00613808">
        <w:t>müssen</w:t>
      </w:r>
      <w:proofErr w:type="spellEnd"/>
      <w:r w:rsidRPr="00613808">
        <w:t xml:space="preserve"> </w:t>
      </w:r>
      <w:proofErr w:type="spellStart"/>
      <w:r w:rsidRPr="00613808">
        <w:t>schon</w:t>
      </w:r>
      <w:proofErr w:type="spellEnd"/>
      <w:r w:rsidRPr="00613808">
        <w:t xml:space="preserve"> </w:t>
      </w:r>
      <w:proofErr w:type="spellStart"/>
      <w:r w:rsidRPr="00613808">
        <w:t>früh</w:t>
      </w:r>
      <w:proofErr w:type="spellEnd"/>
      <w:r w:rsidRPr="00613808">
        <w:t xml:space="preserve"> </w:t>
      </w:r>
      <w:proofErr w:type="spellStart"/>
      <w:r w:rsidRPr="00613808">
        <w:t>im</w:t>
      </w:r>
      <w:proofErr w:type="spellEnd"/>
      <w:r w:rsidRPr="00613808">
        <w:t xml:space="preserve"> </w:t>
      </w:r>
      <w:proofErr w:type="spellStart"/>
      <w:r w:rsidRPr="00613808">
        <w:t>Verfahren</w:t>
      </w:r>
      <w:proofErr w:type="spellEnd"/>
      <w:r w:rsidRPr="00613808">
        <w:t xml:space="preserve"> </w:t>
      </w:r>
      <w:proofErr w:type="spellStart"/>
      <w:r w:rsidRPr="00613808">
        <w:t>erkannt</w:t>
      </w:r>
      <w:proofErr w:type="spellEnd"/>
      <w:r w:rsidRPr="00613808">
        <w:t xml:space="preserve"> </w:t>
      </w:r>
      <w:proofErr w:type="spellStart"/>
      <w:r w:rsidRPr="00613808">
        <w:t>haben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selbst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</w:t>
      </w:r>
      <w:proofErr w:type="spellStart"/>
      <w:r w:rsidRPr="00613808">
        <w:t>günstiges</w:t>
      </w:r>
      <w:proofErr w:type="spellEnd"/>
      <w:r w:rsidRPr="00613808">
        <w:t xml:space="preserve"> </w:t>
      </w:r>
      <w:proofErr w:type="spellStart"/>
      <w:r w:rsidRPr="00613808">
        <w:t>Urteil</w:t>
      </w:r>
      <w:proofErr w:type="spellEnd"/>
      <w:r w:rsidRPr="00613808">
        <w:t xml:space="preserve"> für </w:t>
      </w:r>
      <w:proofErr w:type="spellStart"/>
      <w:r w:rsidRPr="00613808">
        <w:t>eine</w:t>
      </w:r>
      <w:proofErr w:type="spellEnd"/>
      <w:r w:rsidRPr="00613808">
        <w:t xml:space="preserve"> </w:t>
      </w:r>
      <w:proofErr w:type="spellStart"/>
      <w:r w:rsidRPr="00613808">
        <w:t>Wiedereinstellung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spät</w:t>
      </w:r>
      <w:proofErr w:type="spellEnd"/>
      <w:r w:rsidRPr="00613808">
        <w:t xml:space="preserve"> </w:t>
      </w:r>
      <w:proofErr w:type="spellStart"/>
      <w:r w:rsidRPr="00613808">
        <w:t>kommen</w:t>
      </w:r>
      <w:proofErr w:type="spellEnd"/>
      <w:r w:rsidRPr="00613808">
        <w:t xml:space="preserve"> </w:t>
      </w:r>
      <w:proofErr w:type="spellStart"/>
      <w:r w:rsidRPr="00613808">
        <w:t>würde</w:t>
      </w:r>
      <w:proofErr w:type="spellEnd"/>
      <w:r w:rsidRPr="00613808">
        <w:t xml:space="preserve">. </w:t>
      </w:r>
      <w:proofErr w:type="spellStart"/>
      <w:r w:rsidRPr="00613808">
        <w:t>Dennoch</w:t>
      </w:r>
      <w:proofErr w:type="spellEnd"/>
      <w:r w:rsidRPr="00613808">
        <w:t xml:space="preserve"> </w:t>
      </w:r>
      <w:proofErr w:type="spellStart"/>
      <w:r w:rsidRPr="00613808">
        <w:t>demonstrierte</w:t>
      </w:r>
      <w:proofErr w:type="spellEnd"/>
      <w:r w:rsidRPr="00613808">
        <w:t xml:space="preserve"> Herr X auf den </w:t>
      </w:r>
      <w:proofErr w:type="spellStart"/>
      <w:r w:rsidRPr="00613808">
        <w:t>Straßen</w:t>
      </w:r>
      <w:proofErr w:type="spellEnd"/>
      <w:r w:rsidRPr="00613808">
        <w:t xml:space="preserve"> </w:t>
      </w:r>
      <w:proofErr w:type="spellStart"/>
      <w:r w:rsidRPr="00613808">
        <w:t>Tokios</w:t>
      </w:r>
      <w:proofErr w:type="spellEnd"/>
      <w:r w:rsidRPr="00613808">
        <w:t xml:space="preserve">, </w:t>
      </w:r>
      <w:proofErr w:type="spellStart"/>
      <w:r w:rsidRPr="00613808">
        <w:t>als</w:t>
      </w:r>
      <w:proofErr w:type="spellEnd"/>
      <w:r w:rsidRPr="00613808">
        <w:t xml:space="preserve"> die </w:t>
      </w:r>
      <w:proofErr w:type="spellStart"/>
      <w:r w:rsidRPr="00613808">
        <w:t>Entscheidung</w:t>
      </w:r>
      <w:proofErr w:type="spellEnd"/>
      <w:r w:rsidRPr="00613808">
        <w:t xml:space="preserve"> des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Gerichtshofs</w:t>
      </w:r>
      <w:proofErr w:type="spellEnd"/>
      <w:r w:rsidRPr="00613808">
        <w:t xml:space="preserve"> </w:t>
      </w:r>
      <w:proofErr w:type="spellStart"/>
      <w:r w:rsidRPr="00613808">
        <w:t>verkündet</w:t>
      </w:r>
      <w:proofErr w:type="spellEnd"/>
      <w:r w:rsidRPr="00613808">
        <w:t xml:space="preserve"> </w:t>
      </w:r>
      <w:proofErr w:type="spellStart"/>
      <w:r w:rsidRPr="00613808">
        <w:t>wurde</w:t>
      </w:r>
      <w:proofErr w:type="spellEnd"/>
      <w:r w:rsidRPr="00613808">
        <w:t xml:space="preserve">. Es </w:t>
      </w:r>
      <w:proofErr w:type="spellStart"/>
      <w:r w:rsidRPr="00613808">
        <w:t>ist</w:t>
      </w:r>
      <w:proofErr w:type="spellEnd"/>
      <w:r w:rsidRPr="00613808">
        <w:t xml:space="preserve"> </w:t>
      </w:r>
      <w:proofErr w:type="spellStart"/>
      <w:r w:rsidRPr="00613808">
        <w:t>klar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er </w:t>
      </w:r>
      <w:proofErr w:type="spellStart"/>
      <w:r w:rsidRPr="00613808">
        <w:t>darauf</w:t>
      </w:r>
      <w:proofErr w:type="spellEnd"/>
      <w:r w:rsidRPr="00613808">
        <w:t xml:space="preserve"> </w:t>
      </w:r>
      <w:proofErr w:type="spellStart"/>
      <w:r w:rsidRPr="00613808">
        <w:t>abzielte</w:t>
      </w:r>
      <w:proofErr w:type="spellEnd"/>
      <w:r w:rsidRPr="00613808">
        <w:t xml:space="preserve">, das </w:t>
      </w:r>
      <w:proofErr w:type="spellStart"/>
      <w:r w:rsidRPr="00613808">
        <w:t>Urteil</w:t>
      </w:r>
      <w:proofErr w:type="spellEnd"/>
      <w:r w:rsidRPr="00613808">
        <w:t xml:space="preserve"> des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Gerichtshofs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erwirken</w:t>
      </w:r>
      <w:proofErr w:type="spellEnd"/>
      <w:r w:rsidRPr="00613808">
        <w:t xml:space="preserve">, das </w:t>
      </w:r>
      <w:proofErr w:type="spellStart"/>
      <w:r w:rsidRPr="00613808">
        <w:t>das</w:t>
      </w:r>
      <w:proofErr w:type="spellEnd"/>
      <w:r w:rsidRPr="00613808">
        <w:t xml:space="preserve"> </w:t>
      </w:r>
      <w:proofErr w:type="spellStart"/>
      <w:r w:rsidRPr="00613808">
        <w:t>geschlechtsspezifische</w:t>
      </w:r>
      <w:proofErr w:type="spellEnd"/>
      <w:r w:rsidRPr="00613808">
        <w:t xml:space="preserve"> </w:t>
      </w:r>
      <w:proofErr w:type="spellStart"/>
      <w:r w:rsidRPr="00613808">
        <w:t>Rentensystem</w:t>
      </w:r>
      <w:proofErr w:type="spellEnd"/>
      <w:r w:rsidRPr="00613808">
        <w:t xml:space="preserve"> für </w:t>
      </w:r>
      <w:proofErr w:type="spellStart"/>
      <w:r w:rsidRPr="00613808">
        <w:t>ungültig</w:t>
      </w:r>
      <w:proofErr w:type="spellEnd"/>
      <w:r w:rsidRPr="00613808">
        <w:t xml:space="preserve"> </w:t>
      </w:r>
      <w:proofErr w:type="spellStart"/>
      <w:r w:rsidRPr="00613808">
        <w:t>erklärte</w:t>
      </w:r>
      <w:proofErr w:type="spellEnd"/>
      <w:r w:rsidRPr="00613808">
        <w:t xml:space="preserve">, </w:t>
      </w:r>
      <w:proofErr w:type="spellStart"/>
      <w:r w:rsidRPr="00613808">
        <w:t>auch</w:t>
      </w:r>
      <w:proofErr w:type="spellEnd"/>
      <w:r w:rsidRPr="00613808">
        <w:t xml:space="preserve"> </w:t>
      </w:r>
      <w:proofErr w:type="spellStart"/>
      <w:r w:rsidRPr="00613808">
        <w:t>wenn</w:t>
      </w:r>
      <w:proofErr w:type="spellEnd"/>
      <w:r w:rsidRPr="00613808">
        <w:t xml:space="preserve"> dies </w:t>
      </w:r>
      <w:proofErr w:type="spellStart"/>
      <w:r w:rsidRPr="00613808">
        <w:t>bedeutete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er seine Chance auf </w:t>
      </w:r>
      <w:proofErr w:type="spellStart"/>
      <w:r w:rsidRPr="00613808">
        <w:t>eine</w:t>
      </w:r>
      <w:proofErr w:type="spellEnd"/>
      <w:r w:rsidRPr="00613808">
        <w:t xml:space="preserve"> </w:t>
      </w:r>
      <w:proofErr w:type="spellStart"/>
      <w:r w:rsidRPr="00613808">
        <w:t>Rückkehr</w:t>
      </w:r>
      <w:proofErr w:type="spellEnd"/>
      <w:r w:rsidRPr="00613808">
        <w:t xml:space="preserve"> an seinen </w:t>
      </w:r>
      <w:proofErr w:type="spellStart"/>
      <w:r w:rsidRPr="00613808">
        <w:t>Arbeitsplatz</w:t>
      </w:r>
      <w:proofErr w:type="spellEnd"/>
      <w:r w:rsidRPr="00613808">
        <w:t xml:space="preserve"> </w:t>
      </w:r>
      <w:proofErr w:type="spellStart"/>
      <w:r w:rsidRPr="00613808">
        <w:t>verlor</w:t>
      </w:r>
      <w:proofErr w:type="spellEnd"/>
      <w:r w:rsidRPr="00613808">
        <w:t>.</w:t>
      </w:r>
    </w:p>
    <w:p w14:paraId="6BFCB680" w14:textId="77777777" w:rsidR="007D6C2B" w:rsidRPr="00613808" w:rsidRDefault="007D6C2B" w:rsidP="007D6C2B">
      <w:r w:rsidRPr="00613808">
        <w:t xml:space="preserve">　</w:t>
      </w:r>
      <w:r w:rsidRPr="00613808">
        <w:t xml:space="preserve">Der Fall Toyo Oxygen in </w:t>
      </w:r>
      <w:proofErr w:type="spellStart"/>
      <w:r w:rsidRPr="00613808">
        <w:t>Beispiel</w:t>
      </w:r>
      <w:proofErr w:type="spellEnd"/>
      <w:r w:rsidRPr="00613808">
        <w:t xml:space="preserve"> 2 </w:t>
      </w:r>
      <w:proofErr w:type="spellStart"/>
      <w:r w:rsidRPr="00613808">
        <w:t>ist</w:t>
      </w:r>
      <w:proofErr w:type="spellEnd"/>
      <w:r w:rsidRPr="00613808">
        <w:t xml:space="preserve"> </w:t>
      </w:r>
      <w:proofErr w:type="spellStart"/>
      <w:r w:rsidRPr="00613808">
        <w:t>bekannt</w:t>
      </w:r>
      <w:proofErr w:type="spellEnd"/>
      <w:r w:rsidRPr="00613808">
        <w:t xml:space="preserve"> </w:t>
      </w:r>
      <w:proofErr w:type="spellStart"/>
      <w:r w:rsidRPr="00613808">
        <w:t>dafür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das Oberste </w:t>
      </w:r>
      <w:proofErr w:type="spellStart"/>
      <w:r w:rsidRPr="00613808">
        <w:t>Gericht</w:t>
      </w:r>
      <w:proofErr w:type="spellEnd"/>
      <w:r w:rsidRPr="00613808">
        <w:t xml:space="preserve"> die </w:t>
      </w:r>
      <w:proofErr w:type="spellStart"/>
      <w:r w:rsidRPr="00613808">
        <w:t>Entlassung</w:t>
      </w:r>
      <w:proofErr w:type="spellEnd"/>
      <w:r w:rsidRPr="00613808">
        <w:t xml:space="preserve"> </w:t>
      </w:r>
      <w:proofErr w:type="spellStart"/>
      <w:r w:rsidRPr="00613808">
        <w:t>bestätigt</w:t>
      </w:r>
      <w:proofErr w:type="spellEnd"/>
      <w:r w:rsidRPr="00613808">
        <w:t xml:space="preserve"> hat. Die Gesellschaft </w:t>
      </w:r>
      <w:proofErr w:type="spellStart"/>
      <w:r w:rsidRPr="00613808">
        <w:t>nimmt</w:t>
      </w:r>
      <w:proofErr w:type="spellEnd"/>
      <w:r w:rsidRPr="00613808">
        <w:t xml:space="preserve"> den Fall Toyo Oxygen </w:t>
      </w:r>
      <w:proofErr w:type="spellStart"/>
      <w:r w:rsidRPr="00613808">
        <w:t>wahrscheinlich</w:t>
      </w:r>
      <w:proofErr w:type="spellEnd"/>
      <w:r w:rsidRPr="00613808">
        <w:t xml:space="preserve"> </w:t>
      </w:r>
      <w:proofErr w:type="spellStart"/>
      <w:r w:rsidRPr="00613808">
        <w:t>als</w:t>
      </w:r>
      <w:proofErr w:type="spellEnd"/>
      <w:r w:rsidRPr="00613808">
        <w:t xml:space="preserve"> </w:t>
      </w:r>
      <w:proofErr w:type="spellStart"/>
      <w:r w:rsidRPr="00613808">
        <w:t>einen</w:t>
      </w:r>
      <w:proofErr w:type="spellEnd"/>
      <w:r w:rsidRPr="00613808">
        <w:t xml:space="preserve"> </w:t>
      </w:r>
      <w:proofErr w:type="spellStart"/>
      <w:r w:rsidRPr="00613808">
        <w:t>Streitfall</w:t>
      </w:r>
      <w:proofErr w:type="spellEnd"/>
      <w:r w:rsidRPr="00613808">
        <w:t xml:space="preserve"> </w:t>
      </w:r>
      <w:proofErr w:type="spellStart"/>
      <w:r w:rsidRPr="00613808">
        <w:t>wahr</w:t>
      </w:r>
      <w:proofErr w:type="spellEnd"/>
      <w:r w:rsidRPr="00613808">
        <w:t xml:space="preserve">, der </w:t>
      </w:r>
      <w:proofErr w:type="spellStart"/>
      <w:r w:rsidRPr="00613808">
        <w:t>mit</w:t>
      </w:r>
      <w:proofErr w:type="spellEnd"/>
      <w:r w:rsidRPr="00613808">
        <w:t xml:space="preserve"> der </w:t>
      </w:r>
      <w:proofErr w:type="spellStart"/>
      <w:r w:rsidRPr="00613808">
        <w:t>Niederlage</w:t>
      </w:r>
      <w:proofErr w:type="spellEnd"/>
      <w:r w:rsidRPr="00613808">
        <w:t xml:space="preserve"> der </w:t>
      </w:r>
      <w:proofErr w:type="spellStart"/>
      <w:r w:rsidRPr="00613808">
        <w:t>Arbeitnehmer</w:t>
      </w:r>
      <w:proofErr w:type="spellEnd"/>
      <w:r w:rsidRPr="00613808">
        <w:t xml:space="preserve"> </w:t>
      </w:r>
      <w:proofErr w:type="spellStart"/>
      <w:r w:rsidRPr="00613808">
        <w:t>endete</w:t>
      </w:r>
      <w:proofErr w:type="spellEnd"/>
      <w:r w:rsidRPr="00613808">
        <w:t xml:space="preserve">. In </w:t>
      </w:r>
      <w:proofErr w:type="spellStart"/>
      <w:r w:rsidRPr="00613808">
        <w:t>Wirklichkeit</w:t>
      </w:r>
      <w:proofErr w:type="spellEnd"/>
      <w:r w:rsidRPr="00613808">
        <w:t xml:space="preserve"> </w:t>
      </w:r>
      <w:proofErr w:type="spellStart"/>
      <w:r w:rsidRPr="00613808">
        <w:t>setzten</w:t>
      </w:r>
      <w:proofErr w:type="spellEnd"/>
      <w:r w:rsidRPr="00613808">
        <w:t xml:space="preserve"> Herr X und seine </w:t>
      </w:r>
      <w:proofErr w:type="spellStart"/>
      <w:r w:rsidRPr="00613808">
        <w:t>Kollegen</w:t>
      </w:r>
      <w:proofErr w:type="spellEnd"/>
      <w:r w:rsidRPr="00613808">
        <w:t xml:space="preserve"> </w:t>
      </w:r>
      <w:proofErr w:type="spellStart"/>
      <w:r w:rsidRPr="00613808">
        <w:t>ihren</w:t>
      </w:r>
      <w:proofErr w:type="spellEnd"/>
      <w:r w:rsidRPr="00613808">
        <w:t xml:space="preserve"> Kampf </w:t>
      </w:r>
      <w:proofErr w:type="spellStart"/>
      <w:r w:rsidRPr="00613808">
        <w:t>jedoch</w:t>
      </w:r>
      <w:proofErr w:type="spellEnd"/>
      <w:r w:rsidRPr="00613808">
        <w:t xml:space="preserve"> </w:t>
      </w:r>
      <w:proofErr w:type="spellStart"/>
      <w:r w:rsidRPr="00613808">
        <w:t>nach</w:t>
      </w:r>
      <w:proofErr w:type="spellEnd"/>
      <w:r w:rsidRPr="00613808">
        <w:t xml:space="preserve"> der </w:t>
      </w:r>
      <w:proofErr w:type="spellStart"/>
      <w:r w:rsidRPr="00613808">
        <w:t>Niederlage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dem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fort und </w:t>
      </w:r>
      <w:proofErr w:type="spellStart"/>
      <w:r w:rsidRPr="00613808">
        <w:t>legten</w:t>
      </w:r>
      <w:proofErr w:type="spellEnd"/>
      <w:r w:rsidRPr="00613808">
        <w:t xml:space="preserve"> </w:t>
      </w:r>
      <w:proofErr w:type="spellStart"/>
      <w:r w:rsidRPr="00613808">
        <w:t>Berufung</w:t>
      </w:r>
      <w:proofErr w:type="spellEnd"/>
      <w:r w:rsidRPr="00613808">
        <w:t xml:space="preserve"> </w:t>
      </w:r>
      <w:proofErr w:type="spellStart"/>
      <w:r w:rsidRPr="00613808">
        <w:t>beim</w:t>
      </w:r>
      <w:proofErr w:type="spellEnd"/>
      <w:r w:rsidRPr="00613808">
        <w:t xml:space="preserve">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Gerichtshof</w:t>
      </w:r>
      <w:proofErr w:type="spellEnd"/>
      <w:r w:rsidRPr="00613808">
        <w:t xml:space="preserve">, </w:t>
      </w:r>
      <w:proofErr w:type="spellStart"/>
      <w:r w:rsidRPr="00613808">
        <w:t>bei</w:t>
      </w:r>
      <w:proofErr w:type="spellEnd"/>
      <w:r w:rsidRPr="00613808">
        <w:t xml:space="preserve"> </w:t>
      </w:r>
      <w:proofErr w:type="spellStart"/>
      <w:r w:rsidRPr="00613808">
        <w:t>regionalen</w:t>
      </w:r>
      <w:proofErr w:type="spellEnd"/>
      <w:r w:rsidRPr="00613808">
        <w:t xml:space="preserve"> </w:t>
      </w:r>
      <w:proofErr w:type="spellStart"/>
      <w:r w:rsidRPr="00613808">
        <w:t>Arbeitskommissionen</w:t>
      </w:r>
      <w:proofErr w:type="spellEnd"/>
      <w:r w:rsidRPr="00613808">
        <w:t xml:space="preserve"> und </w:t>
      </w:r>
      <w:proofErr w:type="spellStart"/>
      <w:r w:rsidRPr="00613808">
        <w:t>bei</w:t>
      </w:r>
      <w:proofErr w:type="spellEnd"/>
      <w:r w:rsidRPr="00613808">
        <w:t xml:space="preserve"> der </w:t>
      </w:r>
      <w:proofErr w:type="spellStart"/>
      <w:r w:rsidRPr="00613808">
        <w:t>Zentralen</w:t>
      </w:r>
      <w:proofErr w:type="spellEnd"/>
      <w:r w:rsidRPr="00613808">
        <w:t xml:space="preserve"> </w:t>
      </w:r>
      <w:proofErr w:type="spellStart"/>
      <w:r w:rsidRPr="00613808">
        <w:t>Arbeitskommission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. Bei der </w:t>
      </w:r>
      <w:proofErr w:type="spellStart"/>
      <w:r w:rsidRPr="00613808">
        <w:t>Zentralen</w:t>
      </w:r>
      <w:proofErr w:type="spellEnd"/>
      <w:r w:rsidRPr="00613808">
        <w:t xml:space="preserve"> </w:t>
      </w:r>
      <w:proofErr w:type="spellStart"/>
      <w:r w:rsidRPr="00613808">
        <w:t>Arbeitskommission</w:t>
      </w:r>
      <w:proofErr w:type="spellEnd"/>
      <w:r w:rsidRPr="00613808">
        <w:t xml:space="preserve"> </w:t>
      </w:r>
      <w:proofErr w:type="spellStart"/>
      <w:r w:rsidRPr="00613808">
        <w:t>erzielten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</w:t>
      </w:r>
      <w:proofErr w:type="spellStart"/>
      <w:r w:rsidRPr="00613808">
        <w:t>Vergleichsergebnis</w:t>
      </w:r>
      <w:proofErr w:type="spellEnd"/>
      <w:r w:rsidRPr="00613808">
        <w:t xml:space="preserve">, das </w:t>
      </w:r>
      <w:proofErr w:type="spellStart"/>
      <w:r w:rsidRPr="00613808">
        <w:t>nach</w:t>
      </w:r>
      <w:proofErr w:type="spellEnd"/>
      <w:r w:rsidRPr="00613808">
        <w:t xml:space="preserve"> der </w:t>
      </w:r>
      <w:proofErr w:type="spellStart"/>
      <w:r w:rsidRPr="00613808">
        <w:t>Niederlage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dem </w:t>
      </w:r>
      <w:proofErr w:type="spellStart"/>
      <w:r w:rsidRPr="00613808">
        <w:t>Obersten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</w:t>
      </w:r>
      <w:proofErr w:type="spellStart"/>
      <w:r w:rsidRPr="00613808">
        <w:t>unvorstellbar</w:t>
      </w:r>
      <w:proofErr w:type="spellEnd"/>
      <w:r w:rsidRPr="00613808">
        <w:t xml:space="preserve"> </w:t>
      </w:r>
      <w:proofErr w:type="spellStart"/>
      <w:r w:rsidRPr="00613808">
        <w:t>gewesen</w:t>
      </w:r>
      <w:proofErr w:type="spellEnd"/>
      <w:r w:rsidRPr="00613808">
        <w:t xml:space="preserve"> </w:t>
      </w:r>
      <w:proofErr w:type="spellStart"/>
      <w:r w:rsidRPr="00613808">
        <w:t>wäre</w:t>
      </w:r>
      <w:proofErr w:type="spellEnd"/>
      <w:r w:rsidRPr="00613808">
        <w:t xml:space="preserve">. Die </w:t>
      </w:r>
      <w:proofErr w:type="spellStart"/>
      <w:r w:rsidRPr="00613808">
        <w:t>Vergleichsbedingungen</w:t>
      </w:r>
      <w:proofErr w:type="spellEnd"/>
      <w:r w:rsidRPr="00613808">
        <w:t xml:space="preserve"> </w:t>
      </w:r>
      <w:proofErr w:type="spellStart"/>
      <w:r w:rsidRPr="00613808">
        <w:t>umfassten</w:t>
      </w:r>
      <w:proofErr w:type="spellEnd"/>
      <w:r w:rsidRPr="00613808">
        <w:t xml:space="preserve"> die </w:t>
      </w:r>
      <w:proofErr w:type="spellStart"/>
      <w:r w:rsidRPr="00613808">
        <w:t>Rücknahme</w:t>
      </w:r>
      <w:proofErr w:type="spellEnd"/>
      <w:r w:rsidRPr="00613808">
        <w:t xml:space="preserve"> der </w:t>
      </w:r>
      <w:proofErr w:type="spellStart"/>
      <w:r w:rsidRPr="00613808">
        <w:t>Entlassungen</w:t>
      </w:r>
      <w:proofErr w:type="spellEnd"/>
      <w:r w:rsidRPr="00613808">
        <w:t xml:space="preserve"> für alle </w:t>
      </w:r>
      <w:proofErr w:type="spellStart"/>
      <w:r w:rsidRPr="00613808">
        <w:t>entlassenen</w:t>
      </w:r>
      <w:proofErr w:type="spellEnd"/>
      <w:r w:rsidRPr="00613808">
        <w:t xml:space="preserve"> </w:t>
      </w:r>
      <w:proofErr w:type="spellStart"/>
      <w:r w:rsidRPr="00613808">
        <w:t>Arbeitnehmer</w:t>
      </w:r>
      <w:proofErr w:type="spellEnd"/>
      <w:r w:rsidRPr="00613808">
        <w:t xml:space="preserve">, die den Fall bis </w:t>
      </w:r>
      <w:proofErr w:type="spellStart"/>
      <w:r w:rsidRPr="00613808">
        <w:t>zum</w:t>
      </w:r>
      <w:proofErr w:type="spellEnd"/>
      <w:r w:rsidRPr="00613808">
        <w:t xml:space="preserve"> Ende </w:t>
      </w:r>
      <w:proofErr w:type="spellStart"/>
      <w:r w:rsidRPr="00613808">
        <w:t>angefochten</w:t>
      </w:r>
      <w:proofErr w:type="spellEnd"/>
      <w:r w:rsidRPr="00613808">
        <w:t xml:space="preserve"> </w:t>
      </w:r>
      <w:proofErr w:type="spellStart"/>
      <w:r w:rsidRPr="00613808">
        <w:t>hatten</w:t>
      </w:r>
      <w:proofErr w:type="spellEnd"/>
      <w:r w:rsidRPr="00613808">
        <w:t xml:space="preserve">, und die </w:t>
      </w:r>
      <w:proofErr w:type="spellStart"/>
      <w:r w:rsidRPr="00613808">
        <w:t>Wiedereinstellung</w:t>
      </w:r>
      <w:proofErr w:type="spellEnd"/>
      <w:r w:rsidRPr="00613808">
        <w:t xml:space="preserve"> von </w:t>
      </w:r>
      <w:proofErr w:type="spellStart"/>
      <w:r w:rsidRPr="00613808">
        <w:t>sechs</w:t>
      </w:r>
      <w:proofErr w:type="spellEnd"/>
      <w:r w:rsidRPr="00613808">
        <w:t xml:space="preserve"> </w:t>
      </w:r>
      <w:proofErr w:type="spellStart"/>
      <w:r w:rsidRPr="00613808">
        <w:t>Personen</w:t>
      </w:r>
      <w:proofErr w:type="spellEnd"/>
      <w:r w:rsidRPr="00613808">
        <w:t xml:space="preserve">, die </w:t>
      </w:r>
      <w:proofErr w:type="spellStart"/>
      <w:r w:rsidRPr="00613808">
        <w:t>die</w:t>
      </w:r>
      <w:proofErr w:type="spellEnd"/>
      <w:r w:rsidRPr="00613808">
        <w:t xml:space="preserve"> </w:t>
      </w:r>
      <w:proofErr w:type="spellStart"/>
      <w:r w:rsidRPr="00613808">
        <w:t>Hälfte</w:t>
      </w:r>
      <w:proofErr w:type="spellEnd"/>
      <w:r w:rsidRPr="00613808">
        <w:t xml:space="preserve"> der Gruppe </w:t>
      </w:r>
      <w:proofErr w:type="spellStart"/>
      <w:r w:rsidRPr="00613808">
        <w:t>ausmachten</w:t>
      </w:r>
      <w:proofErr w:type="spellEnd"/>
      <w:r w:rsidRPr="00613808">
        <w:t xml:space="preserve">. </w:t>
      </w:r>
      <w:proofErr w:type="spellStart"/>
      <w:r w:rsidRPr="00613808">
        <w:t>Diese</w:t>
      </w:r>
      <w:proofErr w:type="spellEnd"/>
      <w:r w:rsidRPr="00613808">
        <w:t xml:space="preserve"> </w:t>
      </w:r>
      <w:proofErr w:type="spellStart"/>
      <w:r w:rsidRPr="00613808">
        <w:t>sechs</w:t>
      </w:r>
      <w:proofErr w:type="spellEnd"/>
      <w:r w:rsidRPr="00613808">
        <w:t xml:space="preserve"> </w:t>
      </w:r>
      <w:proofErr w:type="spellStart"/>
      <w:r w:rsidRPr="00613808">
        <w:t>Personen</w:t>
      </w:r>
      <w:proofErr w:type="spellEnd"/>
      <w:r w:rsidRPr="00613808">
        <w:t xml:space="preserve"> </w:t>
      </w:r>
      <w:proofErr w:type="spellStart"/>
      <w:r w:rsidRPr="00613808">
        <w:lastRenderedPageBreak/>
        <w:t>arbeiteten</w:t>
      </w:r>
      <w:proofErr w:type="spellEnd"/>
      <w:r w:rsidRPr="00613808">
        <w:t xml:space="preserve"> </w:t>
      </w:r>
      <w:proofErr w:type="spellStart"/>
      <w:r w:rsidRPr="00613808">
        <w:t>tatsächlich</w:t>
      </w:r>
      <w:proofErr w:type="spellEnd"/>
      <w:r w:rsidRPr="00613808">
        <w:t xml:space="preserve"> bis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ihrer</w:t>
      </w:r>
      <w:proofErr w:type="spellEnd"/>
      <w:r w:rsidRPr="00613808">
        <w:t xml:space="preserve"> </w:t>
      </w:r>
      <w:proofErr w:type="spellStart"/>
      <w:r w:rsidRPr="00613808">
        <w:t>Pensionierung</w:t>
      </w:r>
      <w:proofErr w:type="spellEnd"/>
      <w:r w:rsidRPr="00613808">
        <w:t xml:space="preserve"> in dem </w:t>
      </w:r>
      <w:proofErr w:type="spellStart"/>
      <w:r w:rsidRPr="00613808">
        <w:t>Unternehmen</w:t>
      </w:r>
      <w:proofErr w:type="spellEnd"/>
      <w:r w:rsidRPr="00613808">
        <w:t xml:space="preserve"> und </w:t>
      </w:r>
      <w:proofErr w:type="spellStart"/>
      <w:r w:rsidRPr="00613808">
        <w:t>trugen</w:t>
      </w:r>
      <w:proofErr w:type="spellEnd"/>
      <w:r w:rsidRPr="00613808">
        <w:t xml:space="preserve"> </w:t>
      </w:r>
      <w:proofErr w:type="spellStart"/>
      <w:r w:rsidRPr="00613808">
        <w:t>zur</w:t>
      </w:r>
      <w:proofErr w:type="spellEnd"/>
      <w:r w:rsidRPr="00613808">
        <w:t xml:space="preserve"> </w:t>
      </w:r>
      <w:proofErr w:type="spellStart"/>
      <w:r w:rsidRPr="00613808">
        <w:t>Verbesserung</w:t>
      </w:r>
      <w:proofErr w:type="spellEnd"/>
      <w:r w:rsidRPr="00613808">
        <w:t xml:space="preserve"> der </w:t>
      </w:r>
      <w:proofErr w:type="spellStart"/>
      <w:r w:rsidRPr="00613808">
        <w:t>Unternehmensleistung</w:t>
      </w:r>
      <w:proofErr w:type="spellEnd"/>
      <w:r w:rsidRPr="00613808">
        <w:t xml:space="preserve"> und der </w:t>
      </w:r>
      <w:proofErr w:type="spellStart"/>
      <w:r w:rsidRPr="00613808">
        <w:t>Beziehungen</w:t>
      </w:r>
      <w:proofErr w:type="spellEnd"/>
      <w:r w:rsidRPr="00613808">
        <w:t xml:space="preserve"> </w:t>
      </w:r>
      <w:proofErr w:type="spellStart"/>
      <w:r w:rsidRPr="00613808">
        <w:t>zwischen</w:t>
      </w:r>
      <w:proofErr w:type="spellEnd"/>
      <w:r w:rsidRPr="00613808">
        <w:t xml:space="preserve"> </w:t>
      </w:r>
      <w:proofErr w:type="spellStart"/>
      <w:r w:rsidRPr="00613808">
        <w:t>Arbeitgebern</w:t>
      </w:r>
      <w:proofErr w:type="spellEnd"/>
      <w:r w:rsidRPr="00613808">
        <w:t xml:space="preserve"> und </w:t>
      </w:r>
      <w:proofErr w:type="spellStart"/>
      <w:r w:rsidRPr="00613808">
        <w:t>Arbeitnehmern</w:t>
      </w:r>
      <w:proofErr w:type="spellEnd"/>
      <w:r w:rsidRPr="00613808">
        <w:t xml:space="preserve"> </w:t>
      </w:r>
      <w:proofErr w:type="spellStart"/>
      <w:r w:rsidRPr="00613808">
        <w:t>bei</w:t>
      </w:r>
      <w:proofErr w:type="spellEnd"/>
      <w:r w:rsidRPr="00613808">
        <w:t>.</w:t>
      </w:r>
    </w:p>
    <w:p w14:paraId="58F2365F" w14:textId="77777777" w:rsidR="007D6C2B" w:rsidRPr="00613808" w:rsidRDefault="007D6C2B" w:rsidP="007D6C2B">
      <w:proofErr w:type="spellStart"/>
      <w:r w:rsidRPr="00613808">
        <w:t>Sowohl</w:t>
      </w:r>
      <w:proofErr w:type="spellEnd"/>
      <w:r w:rsidRPr="00613808">
        <w:t xml:space="preserve"> in Fall 1 </w:t>
      </w:r>
      <w:proofErr w:type="spellStart"/>
      <w:r w:rsidRPr="00613808">
        <w:t>als</w:t>
      </w:r>
      <w:proofErr w:type="spellEnd"/>
      <w:r w:rsidRPr="00613808">
        <w:t xml:space="preserve"> </w:t>
      </w:r>
      <w:proofErr w:type="spellStart"/>
      <w:r w:rsidRPr="00613808">
        <w:t>auch</w:t>
      </w:r>
      <w:proofErr w:type="spellEnd"/>
      <w:r w:rsidRPr="00613808">
        <w:t xml:space="preserve"> in Fall 2 </w:t>
      </w:r>
      <w:proofErr w:type="spellStart"/>
      <w:r w:rsidRPr="00613808">
        <w:t>versuchten</w:t>
      </w:r>
      <w:proofErr w:type="spellEnd"/>
      <w:r w:rsidRPr="00613808">
        <w:t xml:space="preserve"> die </w:t>
      </w:r>
      <w:proofErr w:type="spellStart"/>
      <w:r w:rsidRPr="00613808">
        <w:t>Kläger</w:t>
      </w:r>
      <w:proofErr w:type="spellEnd"/>
      <w:r w:rsidRPr="00613808">
        <w:t xml:space="preserve"> </w:t>
      </w:r>
      <w:proofErr w:type="spellStart"/>
      <w:r w:rsidRPr="00613808">
        <w:t>unter</w:t>
      </w:r>
      <w:proofErr w:type="spellEnd"/>
      <w:r w:rsidRPr="00613808">
        <w:t xml:space="preserve"> </w:t>
      </w:r>
      <w:proofErr w:type="spellStart"/>
      <w:r w:rsidRPr="00613808">
        <w:t>Berücksichtigung</w:t>
      </w:r>
      <w:proofErr w:type="spellEnd"/>
      <w:r w:rsidRPr="00613808">
        <w:t xml:space="preserve"> der </w:t>
      </w:r>
      <w:proofErr w:type="spellStart"/>
      <w:r w:rsidRPr="00613808">
        <w:t>Auswirkungen</w:t>
      </w:r>
      <w:proofErr w:type="spellEnd"/>
      <w:r w:rsidRPr="00613808">
        <w:t xml:space="preserve"> auf alle </w:t>
      </w:r>
      <w:proofErr w:type="spellStart"/>
      <w:r w:rsidRPr="00613808">
        <w:t>Arbeitnehmer</w:t>
      </w:r>
      <w:proofErr w:type="spellEnd"/>
      <w:r w:rsidRPr="00613808">
        <w:t xml:space="preserve">, </w:t>
      </w:r>
      <w:proofErr w:type="spellStart"/>
      <w:r w:rsidRPr="00613808">
        <w:t>Präzedenzfälle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schaffen</w:t>
      </w:r>
      <w:proofErr w:type="spellEnd"/>
      <w:r w:rsidRPr="00613808">
        <w:t xml:space="preserve">, die für die </w:t>
      </w:r>
      <w:proofErr w:type="spellStart"/>
      <w:r w:rsidRPr="00613808">
        <w:t>gesamte</w:t>
      </w:r>
      <w:proofErr w:type="spellEnd"/>
      <w:r w:rsidRPr="00613808">
        <w:t xml:space="preserve"> </w:t>
      </w:r>
      <w:proofErr w:type="spellStart"/>
      <w:r w:rsidRPr="00613808">
        <w:t>Belegschaft</w:t>
      </w:r>
      <w:proofErr w:type="spellEnd"/>
      <w:r w:rsidRPr="00613808">
        <w:t xml:space="preserve"> </w:t>
      </w:r>
      <w:proofErr w:type="spellStart"/>
      <w:r w:rsidRPr="00613808">
        <w:t>günstig</w:t>
      </w:r>
      <w:proofErr w:type="spellEnd"/>
      <w:r w:rsidRPr="00613808">
        <w:t xml:space="preserve"> </w:t>
      </w:r>
      <w:proofErr w:type="spellStart"/>
      <w:r w:rsidRPr="00613808">
        <w:t>waren</w:t>
      </w:r>
      <w:proofErr w:type="spellEnd"/>
      <w:r w:rsidRPr="00613808">
        <w:t xml:space="preserve">, und </w:t>
      </w:r>
      <w:proofErr w:type="spellStart"/>
      <w:r w:rsidRPr="00613808">
        <w:t>Vergleichsbeispiele</w:t>
      </w:r>
      <w:proofErr w:type="spellEnd"/>
      <w:r w:rsidRPr="00613808">
        <w:t xml:space="preserve"> </w:t>
      </w:r>
      <w:proofErr w:type="spellStart"/>
      <w:r w:rsidRPr="00613808">
        <w:t>mit</w:t>
      </w:r>
      <w:proofErr w:type="spellEnd"/>
      <w:r w:rsidRPr="00613808">
        <w:t xml:space="preserve"> </w:t>
      </w:r>
      <w:proofErr w:type="spellStart"/>
      <w:r w:rsidRPr="00613808">
        <w:t>einem</w:t>
      </w:r>
      <w:proofErr w:type="spellEnd"/>
      <w:r w:rsidRPr="00613808">
        <w:t xml:space="preserve"> </w:t>
      </w:r>
      <w:proofErr w:type="spellStart"/>
      <w:r w:rsidRPr="00613808">
        <w:t>höheren</w:t>
      </w:r>
      <w:proofErr w:type="spellEnd"/>
      <w:r w:rsidRPr="00613808">
        <w:t xml:space="preserve"> Standard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erreichen</w:t>
      </w:r>
      <w:proofErr w:type="spellEnd"/>
      <w:r w:rsidRPr="00613808">
        <w:t xml:space="preserve">. Dazu </w:t>
      </w:r>
      <w:proofErr w:type="spellStart"/>
      <w:r w:rsidRPr="00613808">
        <w:t>mussten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nicht </w:t>
      </w:r>
      <w:proofErr w:type="spellStart"/>
      <w:r w:rsidRPr="00613808">
        <w:t>nur</w:t>
      </w:r>
      <w:proofErr w:type="spellEnd"/>
      <w:r w:rsidRPr="00613808">
        <w:t xml:space="preserve"> </w:t>
      </w:r>
      <w:proofErr w:type="spellStart"/>
      <w:r w:rsidRPr="00613808">
        <w:t>ihre</w:t>
      </w:r>
      <w:proofErr w:type="spellEnd"/>
      <w:r w:rsidRPr="00613808">
        <w:t xml:space="preserve"> </w:t>
      </w:r>
      <w:proofErr w:type="spellStart"/>
      <w:r w:rsidRPr="00613808">
        <w:t>eigene</w:t>
      </w:r>
      <w:proofErr w:type="spellEnd"/>
      <w:r w:rsidRPr="00613808">
        <w:t xml:space="preserve"> Zukunft, </w:t>
      </w:r>
      <w:proofErr w:type="spellStart"/>
      <w:r w:rsidRPr="00613808">
        <w:t>sondern</w:t>
      </w:r>
      <w:proofErr w:type="spellEnd"/>
      <w:r w:rsidRPr="00613808">
        <w:t xml:space="preserve"> </w:t>
      </w:r>
      <w:proofErr w:type="spellStart"/>
      <w:r w:rsidRPr="00613808">
        <w:t>auch</w:t>
      </w:r>
      <w:proofErr w:type="spellEnd"/>
      <w:r w:rsidRPr="00613808">
        <w:t xml:space="preserve"> die </w:t>
      </w:r>
      <w:proofErr w:type="spellStart"/>
      <w:r w:rsidRPr="00613808">
        <w:t>ihrer</w:t>
      </w:r>
      <w:proofErr w:type="spellEnd"/>
      <w:r w:rsidRPr="00613808">
        <w:t xml:space="preserve"> </w:t>
      </w:r>
      <w:proofErr w:type="spellStart"/>
      <w:r w:rsidRPr="00613808">
        <w:t>Familien</w:t>
      </w:r>
      <w:proofErr w:type="spellEnd"/>
      <w:r w:rsidRPr="00613808">
        <w:t xml:space="preserve"> </w:t>
      </w:r>
      <w:proofErr w:type="spellStart"/>
      <w:r w:rsidRPr="00613808">
        <w:t>aufs</w:t>
      </w:r>
      <w:proofErr w:type="spellEnd"/>
      <w:r w:rsidRPr="00613808">
        <w:t xml:space="preserve"> Spiel </w:t>
      </w:r>
      <w:proofErr w:type="spellStart"/>
      <w:r w:rsidRPr="00613808">
        <w:t>setzen</w:t>
      </w:r>
      <w:proofErr w:type="spellEnd"/>
      <w:r w:rsidRPr="00613808">
        <w:t xml:space="preserve">. Auch in </w:t>
      </w:r>
      <w:proofErr w:type="spellStart"/>
      <w:r w:rsidRPr="00613808">
        <w:t>anderen</w:t>
      </w:r>
      <w:proofErr w:type="spellEnd"/>
      <w:r w:rsidRPr="00613808">
        <w:t xml:space="preserve"> </w:t>
      </w:r>
      <w:proofErr w:type="spellStart"/>
      <w:r w:rsidRPr="00613808">
        <w:t>Fällen</w:t>
      </w:r>
      <w:proofErr w:type="spellEnd"/>
      <w:r w:rsidRPr="00613808">
        <w:t xml:space="preserve">, in </w:t>
      </w:r>
      <w:proofErr w:type="spellStart"/>
      <w:r w:rsidRPr="00613808">
        <w:t>denen</w:t>
      </w:r>
      <w:proofErr w:type="spellEnd"/>
      <w:r w:rsidRPr="00613808">
        <w:t xml:space="preserve"> die </w:t>
      </w:r>
      <w:proofErr w:type="spellStart"/>
      <w:r w:rsidRPr="00613808">
        <w:t>Kläger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</w:t>
      </w:r>
      <w:proofErr w:type="spellStart"/>
      <w:r w:rsidRPr="00613808">
        <w:t>unterlagen</w:t>
      </w:r>
      <w:proofErr w:type="spellEnd"/>
      <w:r w:rsidRPr="00613808">
        <w:t xml:space="preserve">, </w:t>
      </w:r>
      <w:proofErr w:type="spellStart"/>
      <w:r w:rsidRPr="00613808">
        <w:t>legten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Berufung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und </w:t>
      </w:r>
      <w:proofErr w:type="spellStart"/>
      <w:r w:rsidRPr="00613808">
        <w:t>erklärten</w:t>
      </w:r>
      <w:proofErr w:type="spellEnd"/>
      <w:r w:rsidRPr="00613808">
        <w:t xml:space="preserve">,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könnten</w:t>
      </w:r>
      <w:proofErr w:type="spellEnd"/>
      <w:r w:rsidRPr="00613808">
        <w:t xml:space="preserve"> „</w:t>
      </w:r>
      <w:proofErr w:type="spellStart"/>
      <w:r w:rsidRPr="00613808">
        <w:t>sich</w:t>
      </w:r>
      <w:proofErr w:type="spellEnd"/>
      <w:r w:rsidRPr="00613808">
        <w:t xml:space="preserve"> nicht </w:t>
      </w:r>
      <w:proofErr w:type="spellStart"/>
      <w:r w:rsidRPr="00613808">
        <w:t>mehr</w:t>
      </w:r>
      <w:proofErr w:type="spellEnd"/>
      <w:r w:rsidRPr="00613808">
        <w:t xml:space="preserve"> in die Welt </w:t>
      </w:r>
      <w:proofErr w:type="spellStart"/>
      <w:r w:rsidRPr="00613808">
        <w:t>stellen</w:t>
      </w:r>
      <w:proofErr w:type="spellEnd"/>
      <w:r w:rsidRPr="00613808">
        <w:t xml:space="preserve">”, </w:t>
      </w:r>
      <w:proofErr w:type="spellStart"/>
      <w:r w:rsidRPr="00613808">
        <w:t>wenn</w:t>
      </w:r>
      <w:proofErr w:type="spellEnd"/>
      <w:r w:rsidRPr="00613808">
        <w:t xml:space="preserve"> </w:t>
      </w:r>
      <w:proofErr w:type="spellStart"/>
      <w:r w:rsidRPr="00613808">
        <w:t>ein</w:t>
      </w:r>
      <w:proofErr w:type="spellEnd"/>
      <w:r w:rsidRPr="00613808">
        <w:t xml:space="preserve"> für alle </w:t>
      </w:r>
      <w:proofErr w:type="spellStart"/>
      <w:r w:rsidRPr="00613808">
        <w:t>Arbeitnehmer</w:t>
      </w:r>
      <w:proofErr w:type="spellEnd"/>
      <w:r w:rsidRPr="00613808">
        <w:t xml:space="preserve"> </w:t>
      </w:r>
      <w:proofErr w:type="spellStart"/>
      <w:r w:rsidRPr="00613808">
        <w:t>nachteiliges</w:t>
      </w:r>
      <w:proofErr w:type="spellEnd"/>
      <w:r w:rsidRPr="00613808">
        <w:t xml:space="preserve"> </w:t>
      </w:r>
      <w:proofErr w:type="spellStart"/>
      <w:r w:rsidRPr="00613808">
        <w:t>Gerichtsurteil</w:t>
      </w:r>
      <w:proofErr w:type="spellEnd"/>
      <w:r w:rsidRPr="00613808">
        <w:t xml:space="preserve"> </w:t>
      </w:r>
      <w:proofErr w:type="spellStart"/>
      <w:r w:rsidRPr="00613808">
        <w:t>rechtskräftig</w:t>
      </w:r>
      <w:proofErr w:type="spellEnd"/>
      <w:r w:rsidRPr="00613808">
        <w:t xml:space="preserve"> </w:t>
      </w:r>
      <w:proofErr w:type="spellStart"/>
      <w:r w:rsidRPr="00613808">
        <w:t>würde</w:t>
      </w:r>
      <w:proofErr w:type="spellEnd"/>
      <w:r w:rsidRPr="00613808">
        <w:t xml:space="preserve">. </w:t>
      </w:r>
      <w:proofErr w:type="spellStart"/>
      <w:r w:rsidRPr="00613808">
        <w:t>Diese</w:t>
      </w:r>
      <w:proofErr w:type="spellEnd"/>
      <w:r w:rsidRPr="00613808">
        <w:t xml:space="preserve"> </w:t>
      </w:r>
      <w:proofErr w:type="spellStart"/>
      <w:r w:rsidRPr="00613808">
        <w:t>Entscheidung</w:t>
      </w:r>
      <w:proofErr w:type="spellEnd"/>
      <w:r w:rsidRPr="00613808">
        <w:t xml:space="preserve">, </w:t>
      </w:r>
      <w:proofErr w:type="spellStart"/>
      <w:r w:rsidRPr="00613808">
        <w:t>weiter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kämpfen</w:t>
      </w:r>
      <w:proofErr w:type="spellEnd"/>
      <w:r w:rsidRPr="00613808">
        <w:t xml:space="preserve">, </w:t>
      </w:r>
      <w:proofErr w:type="spellStart"/>
      <w:r w:rsidRPr="00613808">
        <w:t>bedeutete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es </w:t>
      </w:r>
      <w:proofErr w:type="spellStart"/>
      <w:r w:rsidRPr="00613808">
        <w:t>vorrangig</w:t>
      </w:r>
      <w:proofErr w:type="spellEnd"/>
      <w:r w:rsidRPr="00613808">
        <w:t xml:space="preserve"> </w:t>
      </w:r>
      <w:proofErr w:type="spellStart"/>
      <w:r w:rsidRPr="00613808">
        <w:t>vermieden</w:t>
      </w:r>
      <w:proofErr w:type="spellEnd"/>
      <w:r w:rsidRPr="00613808">
        <w:t xml:space="preserve">, negative </w:t>
      </w:r>
      <w:proofErr w:type="spellStart"/>
      <w:r w:rsidRPr="00613808">
        <w:t>Auswirkungen</w:t>
      </w:r>
      <w:proofErr w:type="spellEnd"/>
      <w:r w:rsidRPr="00613808">
        <w:t xml:space="preserve"> auf Menschen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haben</w:t>
      </w:r>
      <w:proofErr w:type="spellEnd"/>
      <w:r w:rsidRPr="00613808">
        <w:t xml:space="preserve">, </w:t>
      </w:r>
      <w:proofErr w:type="spellStart"/>
      <w:r w:rsidRPr="00613808">
        <w:t>mit</w:t>
      </w:r>
      <w:proofErr w:type="spellEnd"/>
      <w:r w:rsidRPr="00613808">
        <w:t xml:space="preserve"> </w:t>
      </w:r>
      <w:proofErr w:type="spellStart"/>
      <w:r w:rsidRPr="00613808">
        <w:t>denen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keine</w:t>
      </w:r>
      <w:proofErr w:type="spellEnd"/>
      <w:r w:rsidRPr="00613808">
        <w:t xml:space="preserve"> </w:t>
      </w:r>
      <w:proofErr w:type="spellStart"/>
      <w:r w:rsidRPr="00613808">
        <w:t>Verbindung</w:t>
      </w:r>
      <w:proofErr w:type="spellEnd"/>
      <w:r w:rsidRPr="00613808">
        <w:t xml:space="preserve"> </w:t>
      </w:r>
      <w:proofErr w:type="spellStart"/>
      <w:r w:rsidRPr="00613808">
        <w:t>hatten</w:t>
      </w:r>
      <w:proofErr w:type="spellEnd"/>
      <w:r w:rsidRPr="00613808">
        <w:t xml:space="preserve"> und </w:t>
      </w:r>
      <w:proofErr w:type="spellStart"/>
      <w:r w:rsidRPr="00613808">
        <w:t>denen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wahrscheinlich</w:t>
      </w:r>
      <w:proofErr w:type="spellEnd"/>
      <w:r w:rsidRPr="00613808">
        <w:t xml:space="preserve"> </w:t>
      </w:r>
      <w:proofErr w:type="spellStart"/>
      <w:r w:rsidRPr="00613808">
        <w:t>nie</w:t>
      </w:r>
      <w:proofErr w:type="spellEnd"/>
      <w:r w:rsidRPr="00613808">
        <w:t xml:space="preserve"> </w:t>
      </w:r>
      <w:proofErr w:type="spellStart"/>
      <w:r w:rsidRPr="00613808">
        <w:t>begegnen</w:t>
      </w:r>
      <w:proofErr w:type="spellEnd"/>
      <w:r w:rsidRPr="00613808">
        <w:t xml:space="preserve"> </w:t>
      </w:r>
      <w:proofErr w:type="spellStart"/>
      <w:r w:rsidRPr="00613808">
        <w:t>würden</w:t>
      </w:r>
      <w:proofErr w:type="spellEnd"/>
      <w:r w:rsidRPr="00613808">
        <w:t xml:space="preserve"> (die </w:t>
      </w:r>
      <w:proofErr w:type="spellStart"/>
      <w:r w:rsidRPr="00613808">
        <w:t>gesamte</w:t>
      </w:r>
      <w:proofErr w:type="spellEnd"/>
      <w:r w:rsidRPr="00613808">
        <w:t xml:space="preserve"> </w:t>
      </w:r>
      <w:proofErr w:type="spellStart"/>
      <w:r w:rsidRPr="00613808">
        <w:t>Belegschaft</w:t>
      </w:r>
      <w:proofErr w:type="spellEnd"/>
      <w:r w:rsidRPr="00613808">
        <w:t xml:space="preserve">, die Gesellschaft), </w:t>
      </w:r>
      <w:proofErr w:type="spellStart"/>
      <w:r w:rsidRPr="00613808">
        <w:t>anstatt</w:t>
      </w:r>
      <w:proofErr w:type="spellEnd"/>
      <w:r w:rsidRPr="00613808">
        <w:t xml:space="preserve"> </w:t>
      </w:r>
      <w:proofErr w:type="spellStart"/>
      <w:r w:rsidRPr="00613808">
        <w:t>ihr</w:t>
      </w:r>
      <w:proofErr w:type="spellEnd"/>
      <w:r w:rsidRPr="00613808">
        <w:t xml:space="preserve"> </w:t>
      </w:r>
      <w:proofErr w:type="spellStart"/>
      <w:r w:rsidRPr="00613808">
        <w:t>eigenes</w:t>
      </w:r>
      <w:proofErr w:type="spellEnd"/>
      <w:r w:rsidRPr="00613808">
        <w:t xml:space="preserve"> Leben und </w:t>
      </w:r>
      <w:proofErr w:type="spellStart"/>
      <w:r w:rsidRPr="00613808">
        <w:t>ihre</w:t>
      </w:r>
      <w:proofErr w:type="spellEnd"/>
      <w:r w:rsidRPr="00613808">
        <w:t xml:space="preserve"> Zukunft </w:t>
      </w:r>
      <w:proofErr w:type="spellStart"/>
      <w:r w:rsidRPr="00613808">
        <w:t>sowie</w:t>
      </w:r>
      <w:proofErr w:type="spellEnd"/>
      <w:r w:rsidRPr="00613808">
        <w:t xml:space="preserve"> die </w:t>
      </w:r>
      <w:proofErr w:type="spellStart"/>
      <w:r w:rsidRPr="00613808">
        <w:t>ihrer</w:t>
      </w:r>
      <w:proofErr w:type="spellEnd"/>
      <w:r w:rsidRPr="00613808">
        <w:t xml:space="preserve"> </w:t>
      </w:r>
      <w:proofErr w:type="spellStart"/>
      <w:r w:rsidRPr="00613808">
        <w:t>Familien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schützen</w:t>
      </w:r>
      <w:proofErr w:type="spellEnd"/>
      <w:r w:rsidRPr="00613808">
        <w:t>.</w:t>
      </w:r>
    </w:p>
    <w:p w14:paraId="5F1CCDAD" w14:textId="77777777" w:rsidR="007D6C2B" w:rsidRPr="00613808" w:rsidRDefault="007D6C2B" w:rsidP="007D6C2B">
      <w:r w:rsidRPr="00613808">
        <w:t xml:space="preserve">Die </w:t>
      </w:r>
      <w:proofErr w:type="spellStart"/>
      <w:r w:rsidRPr="00613808">
        <w:t>japanischen</w:t>
      </w:r>
      <w:proofErr w:type="spellEnd"/>
      <w:r w:rsidRPr="00613808">
        <w:t xml:space="preserve"> </w:t>
      </w:r>
      <w:proofErr w:type="spellStart"/>
      <w:r w:rsidRPr="00613808">
        <w:t>Arbeitsgesetze</w:t>
      </w:r>
      <w:proofErr w:type="spellEnd"/>
      <w:r w:rsidRPr="00613808">
        <w:t xml:space="preserve"> </w:t>
      </w:r>
      <w:proofErr w:type="spellStart"/>
      <w:r w:rsidRPr="00613808">
        <w:t>stützen</w:t>
      </w:r>
      <w:proofErr w:type="spellEnd"/>
      <w:r w:rsidRPr="00613808">
        <w:t xml:space="preserve"> </w:t>
      </w:r>
      <w:proofErr w:type="spellStart"/>
      <w:r w:rsidRPr="00613808">
        <w:t>sich</w:t>
      </w:r>
      <w:proofErr w:type="spellEnd"/>
      <w:r w:rsidRPr="00613808">
        <w:t xml:space="preserve"> in </w:t>
      </w:r>
      <w:proofErr w:type="spellStart"/>
      <w:r w:rsidRPr="00613808">
        <w:t>entscheidenden</w:t>
      </w:r>
      <w:proofErr w:type="spellEnd"/>
      <w:r w:rsidRPr="00613808">
        <w:t xml:space="preserve"> </w:t>
      </w:r>
      <w:proofErr w:type="spellStart"/>
      <w:r w:rsidRPr="00613808">
        <w:t>Punkten</w:t>
      </w:r>
      <w:proofErr w:type="spellEnd"/>
      <w:r w:rsidRPr="00613808">
        <w:t xml:space="preserve"> </w:t>
      </w:r>
      <w:proofErr w:type="spellStart"/>
      <w:r w:rsidRPr="00613808">
        <w:t>seit</w:t>
      </w:r>
      <w:proofErr w:type="spellEnd"/>
      <w:r w:rsidRPr="00613808">
        <w:t xml:space="preserve"> </w:t>
      </w:r>
      <w:proofErr w:type="spellStart"/>
      <w:r w:rsidRPr="00613808">
        <w:t>langem</w:t>
      </w:r>
      <w:proofErr w:type="spellEnd"/>
      <w:r w:rsidRPr="00613808">
        <w:t xml:space="preserve"> </w:t>
      </w:r>
      <w:proofErr w:type="spellStart"/>
      <w:r w:rsidRPr="00613808">
        <w:t>eher</w:t>
      </w:r>
      <w:proofErr w:type="spellEnd"/>
      <w:r w:rsidRPr="00613808">
        <w:t xml:space="preserve"> auf die </w:t>
      </w:r>
      <w:proofErr w:type="spellStart"/>
      <w:r w:rsidRPr="00613808">
        <w:t>Rechtsprechung</w:t>
      </w:r>
      <w:proofErr w:type="spellEnd"/>
      <w:r w:rsidRPr="00613808">
        <w:t xml:space="preserve"> </w:t>
      </w:r>
      <w:proofErr w:type="spellStart"/>
      <w:r w:rsidRPr="00613808">
        <w:t>als</w:t>
      </w:r>
      <w:proofErr w:type="spellEnd"/>
      <w:r w:rsidRPr="00613808">
        <w:t xml:space="preserve"> auf das </w:t>
      </w:r>
      <w:proofErr w:type="spellStart"/>
      <w:r w:rsidRPr="00613808">
        <w:t>geschriebene</w:t>
      </w:r>
      <w:proofErr w:type="spellEnd"/>
      <w:r w:rsidRPr="00613808">
        <w:t xml:space="preserve"> Recht. Die </w:t>
      </w:r>
      <w:proofErr w:type="spellStart"/>
      <w:r w:rsidRPr="00613808">
        <w:t>Kernelemente</w:t>
      </w:r>
      <w:proofErr w:type="spellEnd"/>
      <w:r w:rsidRPr="00613808">
        <w:t xml:space="preserve"> des </w:t>
      </w:r>
      <w:proofErr w:type="spellStart"/>
      <w:r w:rsidRPr="00613808">
        <w:t>Kündigungsrechts</w:t>
      </w:r>
      <w:proofErr w:type="spellEnd"/>
      <w:r w:rsidRPr="00613808">
        <w:t xml:space="preserve"> </w:t>
      </w:r>
      <w:proofErr w:type="spellStart"/>
      <w:r w:rsidRPr="00613808">
        <w:t>wurden</w:t>
      </w:r>
      <w:proofErr w:type="spellEnd"/>
      <w:r w:rsidRPr="00613808">
        <w:t xml:space="preserve"> </w:t>
      </w:r>
      <w:proofErr w:type="spellStart"/>
      <w:r w:rsidRPr="00613808">
        <w:t>durch</w:t>
      </w:r>
      <w:proofErr w:type="spellEnd"/>
      <w:r w:rsidRPr="00613808">
        <w:t xml:space="preserve"> </w:t>
      </w:r>
      <w:proofErr w:type="spellStart"/>
      <w:r w:rsidRPr="00613808">
        <w:t>Präzedenzfälle</w:t>
      </w:r>
      <w:proofErr w:type="spellEnd"/>
      <w:r w:rsidRPr="00613808">
        <w:t xml:space="preserve"> (die </w:t>
      </w:r>
      <w:proofErr w:type="spellStart"/>
      <w:r w:rsidRPr="00613808">
        <w:t>Doktrin</w:t>
      </w:r>
      <w:proofErr w:type="spellEnd"/>
      <w:r w:rsidRPr="00613808">
        <w:t xml:space="preserve"> des </w:t>
      </w:r>
      <w:proofErr w:type="spellStart"/>
      <w:r w:rsidRPr="00613808">
        <w:t>Missbrauchs</w:t>
      </w:r>
      <w:proofErr w:type="spellEnd"/>
      <w:r w:rsidRPr="00613808">
        <w:t xml:space="preserve"> von </w:t>
      </w:r>
      <w:proofErr w:type="spellStart"/>
      <w:r w:rsidRPr="00613808">
        <w:t>Kündigungsrechten</w:t>
      </w:r>
      <w:proofErr w:type="spellEnd"/>
      <w:r w:rsidRPr="00613808">
        <w:t xml:space="preserve">, die </w:t>
      </w:r>
      <w:proofErr w:type="spellStart"/>
      <w:r w:rsidRPr="00613808">
        <w:t>Doktrin</w:t>
      </w:r>
      <w:proofErr w:type="spellEnd"/>
      <w:r w:rsidRPr="00613808">
        <w:t xml:space="preserve"> der </w:t>
      </w:r>
      <w:proofErr w:type="spellStart"/>
      <w:r w:rsidRPr="00613808">
        <w:t>Umstrukturierungskündigungen</w:t>
      </w:r>
      <w:proofErr w:type="spellEnd"/>
      <w:r w:rsidRPr="00613808">
        <w:t xml:space="preserve">) </w:t>
      </w:r>
      <w:proofErr w:type="spellStart"/>
      <w:r w:rsidRPr="00613808">
        <w:t>geprägt</w:t>
      </w:r>
      <w:proofErr w:type="spellEnd"/>
      <w:r w:rsidRPr="00613808">
        <w:t xml:space="preserve">. </w:t>
      </w:r>
      <w:proofErr w:type="spellStart"/>
      <w:r w:rsidRPr="00613808">
        <w:t>Gerichtliche</w:t>
      </w:r>
      <w:proofErr w:type="spellEnd"/>
      <w:r w:rsidRPr="00613808">
        <w:t xml:space="preserve"> Normen </w:t>
      </w:r>
      <w:proofErr w:type="spellStart"/>
      <w:r w:rsidRPr="00613808">
        <w:t>entstanden</w:t>
      </w:r>
      <w:proofErr w:type="spellEnd"/>
      <w:r w:rsidRPr="00613808">
        <w:t xml:space="preserve"> </w:t>
      </w:r>
      <w:proofErr w:type="spellStart"/>
      <w:r w:rsidRPr="00613808">
        <w:t>gerade</w:t>
      </w:r>
      <w:proofErr w:type="spellEnd"/>
      <w:r w:rsidRPr="00613808">
        <w:t xml:space="preserve"> </w:t>
      </w:r>
      <w:proofErr w:type="spellStart"/>
      <w:r w:rsidRPr="00613808">
        <w:t>deshalb</w:t>
      </w:r>
      <w:proofErr w:type="spellEnd"/>
      <w:r w:rsidRPr="00613808">
        <w:t xml:space="preserve">, </w:t>
      </w:r>
      <w:proofErr w:type="spellStart"/>
      <w:r w:rsidRPr="00613808">
        <w:t>weil</w:t>
      </w:r>
      <w:proofErr w:type="spellEnd"/>
      <w:r w:rsidRPr="00613808">
        <w:t xml:space="preserve"> immer </w:t>
      </w:r>
      <w:proofErr w:type="spellStart"/>
      <w:r w:rsidRPr="00613808">
        <w:t>wieder</w:t>
      </w:r>
      <w:proofErr w:type="spellEnd"/>
      <w:r w:rsidRPr="00613808">
        <w:t xml:space="preserve"> </w:t>
      </w:r>
      <w:proofErr w:type="spellStart"/>
      <w:r w:rsidRPr="00613808">
        <w:t>Prozessparteien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</w:t>
      </w:r>
      <w:proofErr w:type="spellStart"/>
      <w:r w:rsidRPr="00613808">
        <w:t>erschienen</w:t>
      </w:r>
      <w:proofErr w:type="spellEnd"/>
      <w:r w:rsidRPr="00613808">
        <w:t xml:space="preserve">. </w:t>
      </w:r>
      <w:proofErr w:type="spellStart"/>
      <w:r w:rsidRPr="00613808">
        <w:t>Urteile</w:t>
      </w:r>
      <w:proofErr w:type="spellEnd"/>
      <w:r w:rsidRPr="00613808">
        <w:t xml:space="preserve"> und </w:t>
      </w:r>
      <w:proofErr w:type="spellStart"/>
      <w:r w:rsidRPr="00613808">
        <w:t>Entscheidungen</w:t>
      </w:r>
      <w:proofErr w:type="spellEnd"/>
      <w:r w:rsidRPr="00613808">
        <w:t xml:space="preserve"> </w:t>
      </w:r>
      <w:proofErr w:type="spellStart"/>
      <w:r w:rsidRPr="00613808">
        <w:t>werden</w:t>
      </w:r>
      <w:proofErr w:type="spellEnd"/>
      <w:r w:rsidRPr="00613808">
        <w:t xml:space="preserve"> in </w:t>
      </w:r>
      <w:proofErr w:type="spellStart"/>
      <w:r w:rsidRPr="00613808">
        <w:t>späteren</w:t>
      </w:r>
      <w:proofErr w:type="spellEnd"/>
      <w:r w:rsidRPr="00613808">
        <w:t xml:space="preserve"> </w:t>
      </w:r>
      <w:proofErr w:type="spellStart"/>
      <w:r w:rsidRPr="00613808">
        <w:t>Fällen</w:t>
      </w:r>
      <w:proofErr w:type="spellEnd"/>
      <w:r w:rsidRPr="00613808">
        <w:t xml:space="preserve"> und </w:t>
      </w:r>
      <w:proofErr w:type="spellStart"/>
      <w:r w:rsidRPr="00613808">
        <w:t>Streitigkeiten</w:t>
      </w:r>
      <w:proofErr w:type="spellEnd"/>
      <w:r w:rsidRPr="00613808">
        <w:t xml:space="preserve"> </w:t>
      </w:r>
      <w:proofErr w:type="spellStart"/>
      <w:r w:rsidRPr="00613808">
        <w:t>herangezogen</w:t>
      </w:r>
      <w:proofErr w:type="spellEnd"/>
      <w:r w:rsidRPr="00613808">
        <w:t xml:space="preserve">. Die </w:t>
      </w:r>
      <w:proofErr w:type="spellStart"/>
      <w:r w:rsidRPr="00613808">
        <w:t>Heranziehung</w:t>
      </w:r>
      <w:proofErr w:type="spellEnd"/>
      <w:r w:rsidRPr="00613808">
        <w:t xml:space="preserve"> </w:t>
      </w:r>
      <w:proofErr w:type="spellStart"/>
      <w:r w:rsidRPr="00613808">
        <w:t>durch</w:t>
      </w:r>
      <w:proofErr w:type="spellEnd"/>
      <w:r w:rsidRPr="00613808">
        <w:t xml:space="preserve"> </w:t>
      </w:r>
      <w:proofErr w:type="spellStart"/>
      <w:r w:rsidRPr="00613808">
        <w:t>eine</w:t>
      </w:r>
      <w:proofErr w:type="spellEnd"/>
      <w:r w:rsidRPr="00613808">
        <w:t xml:space="preserve"> Person </w:t>
      </w:r>
      <w:proofErr w:type="spellStart"/>
      <w:r w:rsidRPr="00613808">
        <w:t>schmälert</w:t>
      </w:r>
      <w:proofErr w:type="spellEnd"/>
      <w:r w:rsidRPr="00613808">
        <w:t xml:space="preserve"> nicht die </w:t>
      </w:r>
      <w:proofErr w:type="spellStart"/>
      <w:r w:rsidRPr="00613808">
        <w:t>Möglichkeit</w:t>
      </w:r>
      <w:proofErr w:type="spellEnd"/>
      <w:r w:rsidRPr="00613808">
        <w:t xml:space="preserve"> </w:t>
      </w:r>
      <w:proofErr w:type="spellStart"/>
      <w:r w:rsidRPr="00613808">
        <w:t>einer</w:t>
      </w:r>
      <w:proofErr w:type="spellEnd"/>
      <w:r w:rsidRPr="00613808">
        <w:t xml:space="preserve"> </w:t>
      </w:r>
      <w:proofErr w:type="spellStart"/>
      <w:r w:rsidRPr="00613808">
        <w:t>anderen</w:t>
      </w:r>
      <w:proofErr w:type="spellEnd"/>
      <w:r w:rsidRPr="00613808">
        <w:t xml:space="preserve"> Person,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konsultieren</w:t>
      </w:r>
      <w:proofErr w:type="spellEnd"/>
      <w:r w:rsidRPr="00613808">
        <w:t xml:space="preserve">. Es </w:t>
      </w:r>
      <w:proofErr w:type="spellStart"/>
      <w:r w:rsidRPr="00613808">
        <w:t>ist</w:t>
      </w:r>
      <w:proofErr w:type="spellEnd"/>
      <w:r w:rsidRPr="00613808">
        <w:t xml:space="preserve"> </w:t>
      </w:r>
      <w:proofErr w:type="spellStart"/>
      <w:r w:rsidRPr="00613808">
        <w:t>unmöglich</w:t>
      </w:r>
      <w:proofErr w:type="spellEnd"/>
      <w:r w:rsidRPr="00613808">
        <w:t xml:space="preserve">, die </w:t>
      </w:r>
      <w:proofErr w:type="spellStart"/>
      <w:r w:rsidRPr="00613808">
        <w:t>Heranziehung</w:t>
      </w:r>
      <w:proofErr w:type="spellEnd"/>
      <w:r w:rsidRPr="00613808">
        <w:t xml:space="preserve"> </w:t>
      </w:r>
      <w:proofErr w:type="spellStart"/>
      <w:r w:rsidRPr="00613808">
        <w:t>durch</w:t>
      </w:r>
      <w:proofErr w:type="spellEnd"/>
      <w:r w:rsidRPr="00613808">
        <w:t xml:space="preserve"> </w:t>
      </w:r>
      <w:proofErr w:type="spellStart"/>
      <w:r w:rsidRPr="00613808">
        <w:t>diejenigen</w:t>
      </w:r>
      <w:proofErr w:type="spellEnd"/>
      <w:r w:rsidRPr="00613808">
        <w:t xml:space="preserve"> </w:t>
      </w:r>
      <w:proofErr w:type="spellStart"/>
      <w:r w:rsidRPr="00613808">
        <w:t>auszuschließen</w:t>
      </w:r>
      <w:proofErr w:type="spellEnd"/>
      <w:r w:rsidRPr="00613808">
        <w:t xml:space="preserve">, die </w:t>
      </w:r>
      <w:proofErr w:type="spellStart"/>
      <w:r w:rsidRPr="00613808">
        <w:t>keine</w:t>
      </w:r>
      <w:proofErr w:type="spellEnd"/>
      <w:r w:rsidRPr="00613808">
        <w:t xml:space="preserve"> Kosten </w:t>
      </w:r>
      <w:proofErr w:type="spellStart"/>
      <w:r w:rsidRPr="00613808">
        <w:t>tragen</w:t>
      </w:r>
      <w:proofErr w:type="spellEnd"/>
      <w:r w:rsidRPr="00613808">
        <w:t xml:space="preserve">. </w:t>
      </w:r>
      <w:proofErr w:type="spellStart"/>
      <w:r w:rsidRPr="00613808">
        <w:t>Urteile</w:t>
      </w:r>
      <w:proofErr w:type="spellEnd"/>
      <w:r w:rsidRPr="00613808">
        <w:t xml:space="preserve"> und </w:t>
      </w:r>
      <w:proofErr w:type="spellStart"/>
      <w:r w:rsidRPr="00613808">
        <w:t>Entscheidungen</w:t>
      </w:r>
      <w:proofErr w:type="spellEnd"/>
      <w:r w:rsidRPr="00613808">
        <w:t xml:space="preserve"> </w:t>
      </w:r>
      <w:proofErr w:type="spellStart"/>
      <w:r w:rsidRPr="00613808">
        <w:t>können</w:t>
      </w:r>
      <w:proofErr w:type="spellEnd"/>
      <w:r w:rsidRPr="00613808">
        <w:t xml:space="preserve"> </w:t>
      </w:r>
      <w:proofErr w:type="spellStart"/>
      <w:r w:rsidRPr="00613808">
        <w:t>als</w:t>
      </w:r>
      <w:proofErr w:type="spellEnd"/>
      <w:r w:rsidRPr="00613808">
        <w:t xml:space="preserve"> </w:t>
      </w:r>
      <w:proofErr w:type="spellStart"/>
      <w:r w:rsidRPr="00613808">
        <w:t>eine</w:t>
      </w:r>
      <w:proofErr w:type="spellEnd"/>
      <w:r w:rsidRPr="00613808">
        <w:t xml:space="preserve"> Form des </w:t>
      </w:r>
      <w:proofErr w:type="spellStart"/>
      <w:r w:rsidRPr="00613808">
        <w:t>öffentlichen</w:t>
      </w:r>
      <w:proofErr w:type="spellEnd"/>
      <w:r w:rsidRPr="00613808">
        <w:t xml:space="preserve"> Gutes </w:t>
      </w:r>
      <w:proofErr w:type="spellStart"/>
      <w:r w:rsidRPr="00613808">
        <w:t>betrachtet</w:t>
      </w:r>
      <w:proofErr w:type="spellEnd"/>
      <w:r w:rsidRPr="00613808">
        <w:t xml:space="preserve"> </w:t>
      </w:r>
      <w:proofErr w:type="spellStart"/>
      <w:r w:rsidRPr="00613808">
        <w:t>werden</w:t>
      </w:r>
      <w:proofErr w:type="spellEnd"/>
      <w:r w:rsidRPr="00613808">
        <w:t>.</w:t>
      </w:r>
    </w:p>
    <w:p w14:paraId="6F0B46A7" w14:textId="77777777" w:rsidR="007D6C2B" w:rsidRPr="00613808" w:rsidRDefault="007D6C2B" w:rsidP="007D6C2B">
      <w:proofErr w:type="spellStart"/>
      <w:r w:rsidRPr="00613808">
        <w:t>Obwohl</w:t>
      </w:r>
      <w:proofErr w:type="spellEnd"/>
      <w:r w:rsidRPr="00613808">
        <w:t xml:space="preserve"> es </w:t>
      </w:r>
      <w:proofErr w:type="spellStart"/>
      <w:r w:rsidRPr="00613808">
        <w:t>sich</w:t>
      </w:r>
      <w:proofErr w:type="spellEnd"/>
      <w:r w:rsidRPr="00613808">
        <w:t xml:space="preserve"> um </w:t>
      </w:r>
      <w:proofErr w:type="spellStart"/>
      <w:r w:rsidRPr="00613808">
        <w:t>ein</w:t>
      </w:r>
      <w:proofErr w:type="spellEnd"/>
      <w:r w:rsidRPr="00613808">
        <w:t xml:space="preserve"> </w:t>
      </w:r>
      <w:proofErr w:type="spellStart"/>
      <w:r w:rsidRPr="00613808">
        <w:t>öffentliches</w:t>
      </w:r>
      <w:proofErr w:type="spellEnd"/>
      <w:r w:rsidRPr="00613808">
        <w:t xml:space="preserve"> Gut </w:t>
      </w:r>
      <w:proofErr w:type="spellStart"/>
      <w:r w:rsidRPr="00613808">
        <w:t>handelt</w:t>
      </w:r>
      <w:proofErr w:type="spellEnd"/>
      <w:r w:rsidRPr="00613808">
        <w:t xml:space="preserve">, </w:t>
      </w:r>
      <w:proofErr w:type="spellStart"/>
      <w:r w:rsidRPr="00613808">
        <w:t>werden</w:t>
      </w:r>
      <w:proofErr w:type="spellEnd"/>
      <w:r w:rsidRPr="00613808">
        <w:t xml:space="preserve"> die </w:t>
      </w:r>
      <w:proofErr w:type="spellStart"/>
      <w:r w:rsidRPr="00613808">
        <w:t>Prozesskosten</w:t>
      </w:r>
      <w:proofErr w:type="spellEnd"/>
      <w:r w:rsidRPr="00613808">
        <w:t xml:space="preserve">, die </w:t>
      </w:r>
      <w:proofErr w:type="spellStart"/>
      <w:r w:rsidRPr="00613808">
        <w:t>diese</w:t>
      </w:r>
      <w:proofErr w:type="spellEnd"/>
      <w:r w:rsidRPr="00613808">
        <w:t xml:space="preserve"> </w:t>
      </w:r>
      <w:proofErr w:type="spellStart"/>
      <w:r w:rsidRPr="00613808">
        <w:t>Urteile</w:t>
      </w:r>
      <w:proofErr w:type="spellEnd"/>
      <w:r w:rsidRPr="00613808">
        <w:t xml:space="preserve"> und </w:t>
      </w:r>
      <w:proofErr w:type="spellStart"/>
      <w:r w:rsidRPr="00613808">
        <w:t>Entscheidungen</w:t>
      </w:r>
      <w:proofErr w:type="spellEnd"/>
      <w:r w:rsidRPr="00613808">
        <w:t xml:space="preserve"> </w:t>
      </w:r>
      <w:proofErr w:type="spellStart"/>
      <w:r w:rsidRPr="00613808">
        <w:t>verursachen</w:t>
      </w:r>
      <w:proofErr w:type="spellEnd"/>
      <w:r w:rsidRPr="00613808">
        <w:t xml:space="preserve">, </w:t>
      </w:r>
      <w:proofErr w:type="spellStart"/>
      <w:r w:rsidRPr="00613808">
        <w:t>ausschließlich</w:t>
      </w:r>
      <w:proofErr w:type="spellEnd"/>
      <w:r w:rsidRPr="00613808">
        <w:t xml:space="preserve"> von den </w:t>
      </w:r>
      <w:proofErr w:type="spellStart"/>
      <w:r w:rsidRPr="00613808">
        <w:t>streitenden</w:t>
      </w:r>
      <w:proofErr w:type="spellEnd"/>
      <w:r w:rsidRPr="00613808">
        <w:t xml:space="preserve"> </w:t>
      </w:r>
      <w:proofErr w:type="spellStart"/>
      <w:r w:rsidRPr="00613808">
        <w:t>Parteien</w:t>
      </w:r>
      <w:proofErr w:type="spellEnd"/>
      <w:r w:rsidRPr="00613808">
        <w:t xml:space="preserve"> </w:t>
      </w:r>
      <w:proofErr w:type="spellStart"/>
      <w:r w:rsidRPr="00613808">
        <w:t>getragen</w:t>
      </w:r>
      <w:proofErr w:type="spellEnd"/>
      <w:r w:rsidRPr="00613808">
        <w:t xml:space="preserve">. Ich </w:t>
      </w:r>
      <w:proofErr w:type="spellStart"/>
      <w:r w:rsidRPr="00613808">
        <w:t>halte</w:t>
      </w:r>
      <w:proofErr w:type="spellEnd"/>
      <w:r w:rsidRPr="00613808">
        <w:t xml:space="preserve"> dies für </w:t>
      </w:r>
      <w:proofErr w:type="spellStart"/>
      <w:r w:rsidRPr="00613808">
        <w:t>unvernünftig</w:t>
      </w:r>
      <w:proofErr w:type="spellEnd"/>
      <w:r w:rsidRPr="00613808">
        <w:t xml:space="preserve">. Die </w:t>
      </w:r>
      <w:proofErr w:type="spellStart"/>
      <w:r w:rsidRPr="00613808">
        <w:t>Befragten</w:t>
      </w:r>
      <w:proofErr w:type="spellEnd"/>
      <w:r w:rsidRPr="00613808">
        <w:t xml:space="preserve"> in den </w:t>
      </w:r>
      <w:proofErr w:type="spellStart"/>
      <w:r w:rsidRPr="00613808">
        <w:t>Fallstudien</w:t>
      </w:r>
      <w:proofErr w:type="spellEnd"/>
      <w:r w:rsidRPr="00613808">
        <w:t xml:space="preserve"> </w:t>
      </w:r>
      <w:proofErr w:type="spellStart"/>
      <w:r w:rsidRPr="00613808">
        <w:t>gaben</w:t>
      </w:r>
      <w:proofErr w:type="spellEnd"/>
      <w:r w:rsidRPr="00613808">
        <w:t xml:space="preserve"> </w:t>
      </w:r>
      <w:proofErr w:type="spellStart"/>
      <w:r w:rsidRPr="00613808">
        <w:t>jedoch</w:t>
      </w:r>
      <w:proofErr w:type="spellEnd"/>
      <w:r w:rsidRPr="00613808">
        <w:t xml:space="preserve"> an, </w:t>
      </w:r>
      <w:proofErr w:type="spellStart"/>
      <w:r w:rsidRPr="00613808">
        <w:t>dass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den </w:t>
      </w:r>
      <w:proofErr w:type="spellStart"/>
      <w:r w:rsidRPr="00613808">
        <w:t>Rechtsstreit</w:t>
      </w:r>
      <w:proofErr w:type="spellEnd"/>
      <w:r w:rsidRPr="00613808">
        <w:t xml:space="preserve"> </w:t>
      </w:r>
      <w:proofErr w:type="spellStart"/>
      <w:r w:rsidRPr="00613808">
        <w:t>geführt</w:t>
      </w:r>
      <w:proofErr w:type="spellEnd"/>
      <w:r w:rsidRPr="00613808">
        <w:t xml:space="preserve"> </w:t>
      </w:r>
      <w:proofErr w:type="spellStart"/>
      <w:r w:rsidRPr="00613808">
        <w:t>hätten</w:t>
      </w:r>
      <w:proofErr w:type="spellEnd"/>
      <w:r w:rsidRPr="00613808">
        <w:t xml:space="preserve">, </w:t>
      </w:r>
      <w:proofErr w:type="spellStart"/>
      <w:r w:rsidRPr="00613808">
        <w:t>weil</w:t>
      </w:r>
      <w:proofErr w:type="spellEnd"/>
      <w:r w:rsidRPr="00613808">
        <w:t xml:space="preserve"> „die </w:t>
      </w:r>
      <w:proofErr w:type="spellStart"/>
      <w:r w:rsidRPr="00613808">
        <w:t>Arbeitnehmer</w:t>
      </w:r>
      <w:proofErr w:type="spellEnd"/>
      <w:r w:rsidRPr="00613808">
        <w:t xml:space="preserve"> </w:t>
      </w:r>
      <w:proofErr w:type="spellStart"/>
      <w:r w:rsidRPr="00613808">
        <w:t>sich</w:t>
      </w:r>
      <w:proofErr w:type="spellEnd"/>
      <w:r w:rsidRPr="00613808">
        <w:t xml:space="preserve"> in </w:t>
      </w:r>
      <w:proofErr w:type="spellStart"/>
      <w:r w:rsidRPr="00613808">
        <w:t>ihren</w:t>
      </w:r>
      <w:proofErr w:type="spellEnd"/>
      <w:r w:rsidRPr="00613808">
        <w:t xml:space="preserve"> </w:t>
      </w:r>
      <w:proofErr w:type="spellStart"/>
      <w:r w:rsidRPr="00613808">
        <w:t>Arbeitsplätzen</w:t>
      </w:r>
      <w:proofErr w:type="spellEnd"/>
      <w:r w:rsidRPr="00613808">
        <w:t xml:space="preserve"> nicht </w:t>
      </w:r>
      <w:proofErr w:type="spellStart"/>
      <w:r w:rsidRPr="00613808">
        <w:t>sicher</w:t>
      </w:r>
      <w:proofErr w:type="spellEnd"/>
      <w:r w:rsidRPr="00613808">
        <w:t xml:space="preserve"> </w:t>
      </w:r>
      <w:proofErr w:type="spellStart"/>
      <w:r w:rsidRPr="00613808">
        <w:t>fühlen</w:t>
      </w:r>
      <w:proofErr w:type="spellEnd"/>
      <w:r w:rsidRPr="00613808">
        <w:t xml:space="preserve"> </w:t>
      </w:r>
      <w:proofErr w:type="spellStart"/>
      <w:r w:rsidRPr="00613808">
        <w:t>könnten</w:t>
      </w:r>
      <w:proofErr w:type="spellEnd"/>
      <w:r w:rsidRPr="00613808">
        <w:t xml:space="preserve">, </w:t>
      </w:r>
      <w:proofErr w:type="spellStart"/>
      <w:r w:rsidRPr="00613808">
        <w:t>wenn</w:t>
      </w:r>
      <w:proofErr w:type="spellEnd"/>
      <w:r w:rsidRPr="00613808">
        <w:t xml:space="preserve"> </w:t>
      </w:r>
      <w:proofErr w:type="spellStart"/>
      <w:r w:rsidRPr="00613808">
        <w:t>solche</w:t>
      </w:r>
      <w:proofErr w:type="spellEnd"/>
      <w:r w:rsidRPr="00613808">
        <w:t xml:space="preserve"> </w:t>
      </w:r>
      <w:proofErr w:type="spellStart"/>
      <w:r w:rsidRPr="00613808">
        <w:t>Entlassungen</w:t>
      </w:r>
      <w:proofErr w:type="spellEnd"/>
      <w:r w:rsidRPr="00613808">
        <w:t xml:space="preserve"> </w:t>
      </w:r>
      <w:proofErr w:type="spellStart"/>
      <w:r w:rsidRPr="00613808">
        <w:t>zulässig</w:t>
      </w:r>
      <w:proofErr w:type="spellEnd"/>
      <w:r w:rsidRPr="00613808">
        <w:t xml:space="preserve"> </w:t>
      </w:r>
      <w:proofErr w:type="spellStart"/>
      <w:r w:rsidRPr="00613808">
        <w:t>wären</w:t>
      </w:r>
      <w:proofErr w:type="spellEnd"/>
      <w:r w:rsidRPr="00613808">
        <w:t xml:space="preserve">” </w:t>
      </w:r>
      <w:proofErr w:type="spellStart"/>
      <w:r w:rsidRPr="00613808">
        <w:t>oder</w:t>
      </w:r>
      <w:proofErr w:type="spellEnd"/>
      <w:r w:rsidRPr="00613808">
        <w:t xml:space="preserve"> „</w:t>
      </w:r>
      <w:proofErr w:type="spellStart"/>
      <w:r w:rsidRPr="00613808">
        <w:t>eine</w:t>
      </w:r>
      <w:proofErr w:type="spellEnd"/>
      <w:r w:rsidRPr="00613808">
        <w:t xml:space="preserve"> </w:t>
      </w:r>
      <w:proofErr w:type="spellStart"/>
      <w:r w:rsidRPr="00613808">
        <w:t>Niederlage</w:t>
      </w:r>
      <w:proofErr w:type="spellEnd"/>
      <w:r w:rsidRPr="00613808">
        <w:t xml:space="preserve"> für die Gesellschaft </w:t>
      </w:r>
      <w:proofErr w:type="spellStart"/>
      <w:r w:rsidRPr="00613808">
        <w:t>beschämend</w:t>
      </w:r>
      <w:proofErr w:type="spellEnd"/>
      <w:r w:rsidRPr="00613808">
        <w:t xml:space="preserve"> </w:t>
      </w:r>
      <w:proofErr w:type="spellStart"/>
      <w:r w:rsidRPr="00613808">
        <w:t>wäre</w:t>
      </w:r>
      <w:proofErr w:type="spellEnd"/>
      <w:r w:rsidRPr="00613808">
        <w:t xml:space="preserve">”. Sie </w:t>
      </w:r>
      <w:proofErr w:type="spellStart"/>
      <w:r w:rsidRPr="00613808">
        <w:t>setzten</w:t>
      </w:r>
      <w:proofErr w:type="spellEnd"/>
      <w:r w:rsidRPr="00613808">
        <w:t xml:space="preserve"> den </w:t>
      </w:r>
      <w:proofErr w:type="spellStart"/>
      <w:r w:rsidRPr="00613808">
        <w:t>Rechtsstreit</w:t>
      </w:r>
      <w:proofErr w:type="spellEnd"/>
      <w:r w:rsidRPr="00613808">
        <w:t xml:space="preserve"> </w:t>
      </w:r>
      <w:proofErr w:type="spellStart"/>
      <w:r w:rsidRPr="00613808">
        <w:t>auch</w:t>
      </w:r>
      <w:proofErr w:type="spellEnd"/>
      <w:r w:rsidRPr="00613808">
        <w:t xml:space="preserve"> </w:t>
      </w:r>
      <w:proofErr w:type="spellStart"/>
      <w:r w:rsidRPr="00613808">
        <w:t>dann</w:t>
      </w:r>
      <w:proofErr w:type="spellEnd"/>
      <w:r w:rsidRPr="00613808">
        <w:t xml:space="preserve"> fort, </w:t>
      </w:r>
      <w:proofErr w:type="spellStart"/>
      <w:r w:rsidRPr="00613808">
        <w:t>wenn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verloren</w:t>
      </w:r>
      <w:proofErr w:type="spellEnd"/>
      <w:r w:rsidRPr="00613808">
        <w:t xml:space="preserve">, um </w:t>
      </w:r>
      <w:proofErr w:type="spellStart"/>
      <w:r w:rsidRPr="00613808">
        <w:t>eine</w:t>
      </w:r>
      <w:proofErr w:type="spellEnd"/>
      <w:r w:rsidRPr="00613808">
        <w:t xml:space="preserve"> </w:t>
      </w:r>
      <w:proofErr w:type="spellStart"/>
      <w:r w:rsidRPr="00613808">
        <w:t>Erfolgsbilanz</w:t>
      </w:r>
      <w:proofErr w:type="spellEnd"/>
      <w:r w:rsidRPr="00613808">
        <w:t xml:space="preserve"> von </w:t>
      </w:r>
      <w:proofErr w:type="spellStart"/>
      <w:r w:rsidRPr="00613808">
        <w:t>Vergleichen</w:t>
      </w:r>
      <w:proofErr w:type="spellEnd"/>
      <w:r w:rsidRPr="00613808">
        <w:t xml:space="preserve"> auf </w:t>
      </w:r>
      <w:proofErr w:type="spellStart"/>
      <w:r w:rsidRPr="00613808">
        <w:t>höchstem</w:t>
      </w:r>
      <w:proofErr w:type="spellEnd"/>
      <w:r w:rsidRPr="00613808">
        <w:t xml:space="preserve"> </w:t>
      </w:r>
      <w:proofErr w:type="spellStart"/>
      <w:r w:rsidRPr="00613808">
        <w:t>Niveau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erzielen</w:t>
      </w:r>
      <w:proofErr w:type="spellEnd"/>
      <w:r w:rsidRPr="00613808">
        <w:t xml:space="preserve">. Die </w:t>
      </w:r>
      <w:proofErr w:type="spellStart"/>
      <w:r w:rsidRPr="00613808">
        <w:t>streitenden</w:t>
      </w:r>
      <w:proofErr w:type="spellEnd"/>
      <w:r w:rsidRPr="00613808">
        <w:t xml:space="preserve"> </w:t>
      </w:r>
      <w:proofErr w:type="spellStart"/>
      <w:r w:rsidRPr="00613808">
        <w:t>Parteien</w:t>
      </w:r>
      <w:proofErr w:type="spellEnd"/>
      <w:r w:rsidRPr="00613808">
        <w:t xml:space="preserve"> </w:t>
      </w:r>
      <w:proofErr w:type="spellStart"/>
      <w:r w:rsidRPr="00613808">
        <w:t>wollten</w:t>
      </w:r>
      <w:proofErr w:type="spellEnd"/>
      <w:r w:rsidRPr="00613808">
        <w:t xml:space="preserve"> </w:t>
      </w:r>
      <w:proofErr w:type="spellStart"/>
      <w:r w:rsidRPr="00613808">
        <w:t>keine</w:t>
      </w:r>
      <w:proofErr w:type="spellEnd"/>
      <w:r w:rsidRPr="00613808">
        <w:t xml:space="preserve"> Kosten </w:t>
      </w:r>
      <w:proofErr w:type="spellStart"/>
      <w:r w:rsidRPr="00613808">
        <w:t>vermeiden</w:t>
      </w:r>
      <w:proofErr w:type="spellEnd"/>
      <w:r w:rsidRPr="00613808">
        <w:t xml:space="preserve">. </w:t>
      </w:r>
      <w:proofErr w:type="spellStart"/>
      <w:r w:rsidRPr="00613808">
        <w:t>Tatsächlich</w:t>
      </w:r>
      <w:proofErr w:type="spellEnd"/>
      <w:r w:rsidRPr="00613808">
        <w:t xml:space="preserve"> </w:t>
      </w:r>
      <w:proofErr w:type="spellStart"/>
      <w:r w:rsidRPr="00613808">
        <w:t>schien</w:t>
      </w:r>
      <w:proofErr w:type="spellEnd"/>
      <w:r w:rsidRPr="00613808">
        <w:t xml:space="preserve"> es </w:t>
      </w:r>
      <w:proofErr w:type="spellStart"/>
      <w:r w:rsidRPr="00613808">
        <w:t>manchmal</w:t>
      </w:r>
      <w:proofErr w:type="spellEnd"/>
      <w:r w:rsidRPr="00613808">
        <w:t xml:space="preserve"> so, </w:t>
      </w:r>
      <w:proofErr w:type="spellStart"/>
      <w:r w:rsidRPr="00613808">
        <w:t>als</w:t>
      </w:r>
      <w:proofErr w:type="spellEnd"/>
      <w:r w:rsidRPr="00613808">
        <w:t xml:space="preserve"> </w:t>
      </w:r>
      <w:proofErr w:type="spellStart"/>
      <w:r w:rsidRPr="00613808">
        <w:t>wollten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mit</w:t>
      </w:r>
      <w:proofErr w:type="spellEnd"/>
      <w:r w:rsidRPr="00613808">
        <w:t xml:space="preserve"> </w:t>
      </w:r>
      <w:proofErr w:type="spellStart"/>
      <w:r w:rsidRPr="00613808">
        <w:t>ihren</w:t>
      </w:r>
      <w:proofErr w:type="spellEnd"/>
      <w:r w:rsidRPr="00613808">
        <w:t xml:space="preserve"> </w:t>
      </w:r>
      <w:proofErr w:type="spellStart"/>
      <w:r w:rsidRPr="00613808">
        <w:t>Entscheidungen</w:t>
      </w:r>
      <w:proofErr w:type="spellEnd"/>
      <w:r w:rsidRPr="00613808">
        <w:t xml:space="preserve"> </w:t>
      </w:r>
      <w:proofErr w:type="spellStart"/>
      <w:r w:rsidRPr="00613808">
        <w:t>aktiv</w:t>
      </w:r>
      <w:proofErr w:type="spellEnd"/>
      <w:r w:rsidRPr="00613808">
        <w:t xml:space="preserve"> die Rolle der </w:t>
      </w:r>
      <w:proofErr w:type="spellStart"/>
      <w:r w:rsidRPr="00613808">
        <w:t>Dienstleister</w:t>
      </w:r>
      <w:proofErr w:type="spellEnd"/>
      <w:r w:rsidRPr="00613808">
        <w:t xml:space="preserve"> </w:t>
      </w:r>
      <w:proofErr w:type="spellStart"/>
      <w:r w:rsidRPr="00613808">
        <w:t>übernehmen</w:t>
      </w:r>
      <w:proofErr w:type="spellEnd"/>
      <w:r w:rsidRPr="00613808">
        <w:t xml:space="preserve">. </w:t>
      </w:r>
      <w:proofErr w:type="spellStart"/>
      <w:r w:rsidRPr="00613808">
        <w:t>Warum</w:t>
      </w:r>
      <w:proofErr w:type="spellEnd"/>
      <w:r w:rsidRPr="00613808">
        <w:t xml:space="preserve"> </w:t>
      </w:r>
      <w:proofErr w:type="spellStart"/>
      <w:r w:rsidRPr="00613808">
        <w:t>konnten</w:t>
      </w:r>
      <w:proofErr w:type="spellEnd"/>
      <w:r w:rsidRPr="00613808">
        <w:t xml:space="preserve"> </w:t>
      </w:r>
      <w:proofErr w:type="spellStart"/>
      <w:r w:rsidRPr="00613808">
        <w:t>sie</w:t>
      </w:r>
      <w:proofErr w:type="spellEnd"/>
      <w:r w:rsidRPr="00613808">
        <w:t xml:space="preserve"> </w:t>
      </w:r>
      <w:proofErr w:type="spellStart"/>
      <w:r w:rsidRPr="00613808">
        <w:t>solche</w:t>
      </w:r>
      <w:proofErr w:type="spellEnd"/>
      <w:r w:rsidRPr="00613808">
        <w:t xml:space="preserve"> </w:t>
      </w:r>
      <w:proofErr w:type="spellStart"/>
      <w:r w:rsidRPr="00613808">
        <w:t>Entscheidungen</w:t>
      </w:r>
      <w:proofErr w:type="spellEnd"/>
      <w:r w:rsidRPr="00613808">
        <w:t xml:space="preserve"> </w:t>
      </w:r>
      <w:proofErr w:type="spellStart"/>
      <w:r w:rsidRPr="00613808">
        <w:t>treffen</w:t>
      </w:r>
      <w:proofErr w:type="spellEnd"/>
      <w:r w:rsidRPr="00613808">
        <w:t xml:space="preserve">? Ein Mann, der die </w:t>
      </w:r>
      <w:proofErr w:type="spellStart"/>
      <w:r w:rsidRPr="00613808">
        <w:t>Rechtmäßigkeit</w:t>
      </w:r>
      <w:proofErr w:type="spellEnd"/>
      <w:r w:rsidRPr="00613808">
        <w:t xml:space="preserve"> seiner </w:t>
      </w:r>
      <w:proofErr w:type="spellStart"/>
      <w:r w:rsidRPr="00613808">
        <w:t>Entlassung</w:t>
      </w:r>
      <w:proofErr w:type="spellEnd"/>
      <w:r w:rsidRPr="00613808">
        <w:t xml:space="preserve"> </w:t>
      </w:r>
      <w:proofErr w:type="spellStart"/>
      <w:r w:rsidRPr="00613808">
        <w:t>vor</w:t>
      </w:r>
      <w:proofErr w:type="spellEnd"/>
      <w:r w:rsidRPr="00613808">
        <w:t xml:space="preserve"> </w:t>
      </w:r>
      <w:proofErr w:type="spellStart"/>
      <w:r w:rsidRPr="00613808">
        <w:t>Gericht</w:t>
      </w:r>
      <w:proofErr w:type="spellEnd"/>
      <w:r w:rsidRPr="00613808">
        <w:t xml:space="preserve"> </w:t>
      </w:r>
      <w:proofErr w:type="spellStart"/>
      <w:r w:rsidRPr="00613808">
        <w:t>angefochten</w:t>
      </w:r>
      <w:proofErr w:type="spellEnd"/>
      <w:r w:rsidRPr="00613808">
        <w:t xml:space="preserve"> </w:t>
      </w:r>
      <w:proofErr w:type="spellStart"/>
      <w:r w:rsidRPr="00613808">
        <w:t>hatte</w:t>
      </w:r>
      <w:proofErr w:type="spellEnd"/>
      <w:r w:rsidRPr="00613808">
        <w:t xml:space="preserve">, </w:t>
      </w:r>
      <w:proofErr w:type="spellStart"/>
      <w:r w:rsidRPr="00613808">
        <w:t>beantwortete</w:t>
      </w:r>
      <w:proofErr w:type="spellEnd"/>
      <w:r w:rsidRPr="00613808">
        <w:t xml:space="preserve"> </w:t>
      </w:r>
      <w:proofErr w:type="spellStart"/>
      <w:r w:rsidRPr="00613808">
        <w:t>meine</w:t>
      </w:r>
      <w:proofErr w:type="spellEnd"/>
      <w:r w:rsidRPr="00613808">
        <w:t xml:space="preserve"> Frage so: Weil </w:t>
      </w:r>
      <w:proofErr w:type="spellStart"/>
      <w:r w:rsidRPr="00613808">
        <w:t>ihm</w:t>
      </w:r>
      <w:proofErr w:type="spellEnd"/>
      <w:r w:rsidRPr="00613808">
        <w:t xml:space="preserve"> </w:t>
      </w:r>
      <w:proofErr w:type="spellStart"/>
      <w:r w:rsidRPr="00613808">
        <w:t>selbst</w:t>
      </w:r>
      <w:proofErr w:type="spellEnd"/>
      <w:r w:rsidRPr="00613808">
        <w:t xml:space="preserve"> </w:t>
      </w:r>
      <w:proofErr w:type="spellStart"/>
      <w:r w:rsidRPr="00613808">
        <w:t>durch</w:t>
      </w:r>
      <w:proofErr w:type="spellEnd"/>
      <w:r w:rsidRPr="00613808">
        <w:t xml:space="preserve"> die </w:t>
      </w:r>
      <w:proofErr w:type="spellStart"/>
      <w:r w:rsidRPr="00613808">
        <w:t>Klagen</w:t>
      </w:r>
      <w:proofErr w:type="spellEnd"/>
      <w:r w:rsidRPr="00613808">
        <w:t xml:space="preserve"> </w:t>
      </w:r>
      <w:proofErr w:type="spellStart"/>
      <w:r w:rsidRPr="00613808">
        <w:t>früherer</w:t>
      </w:r>
      <w:proofErr w:type="spellEnd"/>
      <w:r w:rsidRPr="00613808">
        <w:t xml:space="preserve"> </w:t>
      </w:r>
      <w:proofErr w:type="spellStart"/>
      <w:r w:rsidRPr="00613808">
        <w:t>Prozessparteien</w:t>
      </w:r>
      <w:proofErr w:type="spellEnd"/>
      <w:r w:rsidRPr="00613808">
        <w:t xml:space="preserve"> </w:t>
      </w:r>
      <w:proofErr w:type="spellStart"/>
      <w:r w:rsidRPr="00613808">
        <w:t>geholfen</w:t>
      </w:r>
      <w:proofErr w:type="spellEnd"/>
      <w:r w:rsidRPr="00613808">
        <w:t xml:space="preserve"> </w:t>
      </w:r>
      <w:proofErr w:type="spellStart"/>
      <w:r w:rsidRPr="00613808">
        <w:t>worden</w:t>
      </w:r>
      <w:proofErr w:type="spellEnd"/>
      <w:r w:rsidRPr="00613808">
        <w:t xml:space="preserve"> war, </w:t>
      </w:r>
      <w:proofErr w:type="spellStart"/>
      <w:r w:rsidRPr="00613808">
        <w:t>wollte</w:t>
      </w:r>
      <w:proofErr w:type="spellEnd"/>
      <w:r w:rsidRPr="00613808">
        <w:t xml:space="preserve"> </w:t>
      </w:r>
      <w:proofErr w:type="spellStart"/>
      <w:r w:rsidRPr="00613808">
        <w:t>auch</w:t>
      </w:r>
      <w:proofErr w:type="spellEnd"/>
      <w:r w:rsidRPr="00613808">
        <w:t xml:space="preserve"> er </w:t>
      </w:r>
      <w:proofErr w:type="spellStart"/>
      <w:r w:rsidRPr="00613808">
        <w:t>etwas</w:t>
      </w:r>
      <w:proofErr w:type="spellEnd"/>
      <w:r w:rsidRPr="00613808">
        <w:t xml:space="preserve"> </w:t>
      </w:r>
      <w:proofErr w:type="spellStart"/>
      <w:r w:rsidRPr="00613808">
        <w:t>hinterlassen</w:t>
      </w:r>
      <w:proofErr w:type="spellEnd"/>
      <w:r w:rsidRPr="00613808">
        <w:t>.</w:t>
      </w:r>
    </w:p>
    <w:p w14:paraId="1EA26896" w14:textId="77777777" w:rsidR="007D6C2B" w:rsidRPr="00613808" w:rsidRDefault="007D6C2B" w:rsidP="007D6C2B">
      <w:r w:rsidRPr="00613808">
        <w:t xml:space="preserve">　　　</w:t>
      </w:r>
    </w:p>
    <w:p w14:paraId="5792F5F8" w14:textId="77777777" w:rsidR="007D6C2B" w:rsidRPr="00613808" w:rsidRDefault="007D6C2B" w:rsidP="007D6C2B">
      <w:r w:rsidRPr="00613808">
        <w:t xml:space="preserve">Ich </w:t>
      </w:r>
      <w:proofErr w:type="spellStart"/>
      <w:r w:rsidRPr="00613808">
        <w:t>glaube</w:t>
      </w:r>
      <w:proofErr w:type="spellEnd"/>
      <w:r w:rsidRPr="00613808">
        <w:t xml:space="preserve">, </w:t>
      </w:r>
      <w:proofErr w:type="spellStart"/>
      <w:r w:rsidRPr="00613808">
        <w:t>dass</w:t>
      </w:r>
      <w:proofErr w:type="spellEnd"/>
      <w:r w:rsidRPr="00613808">
        <w:t xml:space="preserve"> „</w:t>
      </w:r>
      <w:proofErr w:type="spellStart"/>
      <w:r w:rsidRPr="00613808">
        <w:t>Reziprozität</w:t>
      </w:r>
      <w:proofErr w:type="spellEnd"/>
      <w:r w:rsidRPr="00613808">
        <w:t xml:space="preserve">” – die </w:t>
      </w:r>
      <w:proofErr w:type="spellStart"/>
      <w:r w:rsidRPr="00613808">
        <w:t>Förderung</w:t>
      </w:r>
      <w:proofErr w:type="spellEnd"/>
      <w:r w:rsidRPr="00613808">
        <w:t xml:space="preserve"> der </w:t>
      </w:r>
      <w:proofErr w:type="spellStart"/>
      <w:r w:rsidRPr="00613808">
        <w:t>Interessen</w:t>
      </w:r>
      <w:proofErr w:type="spellEnd"/>
      <w:r w:rsidRPr="00613808">
        <w:t xml:space="preserve"> </w:t>
      </w:r>
      <w:proofErr w:type="spellStart"/>
      <w:r w:rsidRPr="00613808">
        <w:t>anderer</w:t>
      </w:r>
      <w:proofErr w:type="spellEnd"/>
      <w:r w:rsidRPr="00613808">
        <w:t xml:space="preserve"> auf Kosten der </w:t>
      </w:r>
      <w:proofErr w:type="spellStart"/>
      <w:r w:rsidRPr="00613808">
        <w:t>eigenen</w:t>
      </w:r>
      <w:proofErr w:type="spellEnd"/>
      <w:r w:rsidRPr="00613808">
        <w:t xml:space="preserve"> – und „Ultrasozialität” – die </w:t>
      </w:r>
      <w:proofErr w:type="spellStart"/>
      <w:r w:rsidRPr="00613808">
        <w:t>groß</w:t>
      </w:r>
      <w:proofErr w:type="spellEnd"/>
      <w:r w:rsidRPr="00613808">
        <w:t xml:space="preserve"> </w:t>
      </w:r>
      <w:proofErr w:type="spellStart"/>
      <w:r w:rsidRPr="00613808">
        <w:t>angelegte</w:t>
      </w:r>
      <w:proofErr w:type="spellEnd"/>
      <w:r w:rsidRPr="00613808">
        <w:t xml:space="preserve"> Zusammenarbeit </w:t>
      </w:r>
      <w:proofErr w:type="spellStart"/>
      <w:r w:rsidRPr="00613808">
        <w:t>mit</w:t>
      </w:r>
      <w:proofErr w:type="spellEnd"/>
      <w:r w:rsidRPr="00613808">
        <w:t xml:space="preserve"> </w:t>
      </w:r>
      <w:proofErr w:type="spellStart"/>
      <w:r w:rsidRPr="00613808">
        <w:t>völlig</w:t>
      </w:r>
      <w:proofErr w:type="spellEnd"/>
      <w:r w:rsidRPr="00613808">
        <w:t xml:space="preserve"> </w:t>
      </w:r>
      <w:proofErr w:type="spellStart"/>
      <w:r w:rsidRPr="00613808">
        <w:t>Fremden</w:t>
      </w:r>
      <w:proofErr w:type="spellEnd"/>
      <w:r w:rsidRPr="00613808">
        <w:t xml:space="preserve"> – </w:t>
      </w:r>
      <w:proofErr w:type="spellStart"/>
      <w:r w:rsidRPr="00613808">
        <w:t>überzeugende</w:t>
      </w:r>
      <w:proofErr w:type="spellEnd"/>
      <w:r w:rsidRPr="00613808">
        <w:t xml:space="preserve"> </w:t>
      </w:r>
      <w:proofErr w:type="spellStart"/>
      <w:r w:rsidRPr="00613808">
        <w:t>Hinweise</w:t>
      </w:r>
      <w:proofErr w:type="spellEnd"/>
      <w:r w:rsidRPr="00613808">
        <w:t xml:space="preserve"> </w:t>
      </w:r>
      <w:proofErr w:type="spellStart"/>
      <w:r w:rsidRPr="00613808">
        <w:t>liefern</w:t>
      </w:r>
      <w:proofErr w:type="spellEnd"/>
      <w:r w:rsidRPr="00613808">
        <w:t xml:space="preserve">, um die </w:t>
      </w:r>
      <w:proofErr w:type="spellStart"/>
      <w:r w:rsidRPr="00613808">
        <w:t>Motivationsprinzipien</w:t>
      </w:r>
      <w:proofErr w:type="spellEnd"/>
      <w:r w:rsidRPr="00613808">
        <w:t xml:space="preserve"> hinter den </w:t>
      </w:r>
      <w:proofErr w:type="spellStart"/>
      <w:r w:rsidRPr="00613808">
        <w:t>Handlungen</w:t>
      </w:r>
      <w:proofErr w:type="spellEnd"/>
      <w:r w:rsidRPr="00613808">
        <w:t xml:space="preserve"> </w:t>
      </w:r>
      <w:proofErr w:type="spellStart"/>
      <w:r w:rsidRPr="00613808">
        <w:t>solcher</w:t>
      </w:r>
      <w:proofErr w:type="spellEnd"/>
      <w:r w:rsidRPr="00613808">
        <w:t xml:space="preserve"> </w:t>
      </w:r>
      <w:proofErr w:type="spellStart"/>
      <w:r w:rsidRPr="00613808">
        <w:t>Kläger</w:t>
      </w:r>
      <w:proofErr w:type="spellEnd"/>
      <w:r w:rsidRPr="00613808">
        <w:t xml:space="preserve"> </w:t>
      </w:r>
      <w:proofErr w:type="spellStart"/>
      <w:r w:rsidRPr="00613808">
        <w:t>zu</w:t>
      </w:r>
      <w:proofErr w:type="spellEnd"/>
      <w:r w:rsidRPr="00613808">
        <w:t xml:space="preserve"> </w:t>
      </w:r>
      <w:proofErr w:type="spellStart"/>
      <w:r w:rsidRPr="00613808">
        <w:t>erklären</w:t>
      </w:r>
      <w:proofErr w:type="spellEnd"/>
      <w:r w:rsidRPr="00613808">
        <w:t>.</w:t>
      </w:r>
    </w:p>
    <w:p w14:paraId="3BF2FCC4" w14:textId="77777777" w:rsidR="00CF2D66" w:rsidRDefault="00CF2D66" w:rsidP="00F900F4"/>
    <w:p w14:paraId="73D7C497" w14:textId="77777777" w:rsidR="007D6C2B" w:rsidRPr="007D6C2B" w:rsidRDefault="007D6C2B" w:rsidP="007D6C2B">
      <w:r w:rsidRPr="007D6C2B">
        <w:rPr>
          <w:b/>
          <w:bCs/>
        </w:rPr>
        <w:lastRenderedPageBreak/>
        <w:t xml:space="preserve">４　</w:t>
      </w:r>
      <w:r w:rsidR="00613808" w:rsidRPr="00DE02A1">
        <w:rPr>
          <w:b/>
          <w:bCs/>
        </w:rPr>
        <w:t>Die Logik des</w:t>
      </w:r>
      <w:r w:rsidR="00613808" w:rsidRPr="00DE02A1">
        <w:rPr>
          <w:b/>
          <w:bCs/>
          <w:i/>
          <w:iCs/>
        </w:rPr>
        <w:t xml:space="preserve"> </w:t>
      </w:r>
      <w:proofErr w:type="spellStart"/>
      <w:r w:rsidR="00613808" w:rsidRPr="00DE02A1">
        <w:rPr>
          <w:b/>
          <w:bCs/>
          <w:i/>
          <w:iCs/>
        </w:rPr>
        <w:t>Zuhause</w:t>
      </w:r>
      <w:r w:rsidR="00613808" w:rsidRPr="00DE02A1">
        <w:rPr>
          <w:b/>
          <w:bCs/>
        </w:rPr>
        <w:t>s</w:t>
      </w:r>
      <w:proofErr w:type="spellEnd"/>
      <w:r w:rsidRPr="007D6C2B">
        <w:rPr>
          <w:b/>
          <w:bCs/>
        </w:rPr>
        <w:t xml:space="preserve"> (Institution-first-Logik)</w:t>
      </w:r>
    </w:p>
    <w:p w14:paraId="379DC972" w14:textId="77777777" w:rsidR="007D6C2B" w:rsidRPr="007D6C2B" w:rsidRDefault="007D6C2B" w:rsidP="007D6C2B">
      <w:r w:rsidRPr="007D6C2B">
        <w:t>Das „</w:t>
      </w:r>
      <w:proofErr w:type="spellStart"/>
      <w:r w:rsidRPr="007D6C2B">
        <w:t>ie</w:t>
      </w:r>
      <w:proofErr w:type="spellEnd"/>
      <w:r w:rsidRPr="007D6C2B">
        <w:t>” in der Logik des „</w:t>
      </w:r>
      <w:proofErr w:type="spellStart"/>
      <w:r w:rsidRPr="007D6C2B">
        <w:t>ie</w:t>
      </w:r>
      <w:proofErr w:type="spellEnd"/>
      <w:r w:rsidRPr="007D6C2B">
        <w:t>” (</w:t>
      </w:r>
      <w:proofErr w:type="spellStart"/>
      <w:r w:rsidRPr="007D6C2B">
        <w:t>Haushalt</w:t>
      </w:r>
      <w:proofErr w:type="spellEnd"/>
      <w:r w:rsidRPr="007D6C2B">
        <w:t xml:space="preserve">) </w:t>
      </w:r>
      <w:proofErr w:type="spellStart"/>
      <w:r w:rsidRPr="007D6C2B">
        <w:t>würde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</w:t>
      </w:r>
      <w:proofErr w:type="spellStart"/>
      <w:r w:rsidRPr="007D6C2B">
        <w:t>Englischen</w:t>
      </w:r>
      <w:proofErr w:type="spellEnd"/>
      <w:r w:rsidRPr="007D6C2B">
        <w:t xml:space="preserve"> </w:t>
      </w:r>
      <w:proofErr w:type="spellStart"/>
      <w:r w:rsidRPr="007D6C2B">
        <w:t>direkt</w:t>
      </w:r>
      <w:proofErr w:type="spellEnd"/>
      <w:r w:rsidRPr="007D6C2B">
        <w:t xml:space="preserve"> </w:t>
      </w:r>
      <w:proofErr w:type="spellStart"/>
      <w:r w:rsidRPr="007D6C2B">
        <w:t>mit</w:t>
      </w:r>
      <w:proofErr w:type="spellEnd"/>
      <w:r w:rsidRPr="007D6C2B">
        <w:t xml:space="preserve"> „</w:t>
      </w:r>
      <w:proofErr w:type="spellStart"/>
      <w:r w:rsidRPr="007D6C2B">
        <w:t>Haushalt</w:t>
      </w:r>
      <w:proofErr w:type="spellEnd"/>
      <w:r w:rsidRPr="007D6C2B">
        <w:t xml:space="preserve">” </w:t>
      </w:r>
      <w:proofErr w:type="spellStart"/>
      <w:r w:rsidRPr="007D6C2B">
        <w:t>übersetzt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 xml:space="preserve">. Der </w:t>
      </w:r>
      <w:proofErr w:type="spellStart"/>
      <w:r w:rsidRPr="007D6C2B">
        <w:t>Begriff</w:t>
      </w:r>
      <w:proofErr w:type="spellEnd"/>
      <w:r w:rsidRPr="007D6C2B">
        <w:t xml:space="preserve"> „</w:t>
      </w:r>
      <w:proofErr w:type="spellStart"/>
      <w:r w:rsidRPr="007D6C2B">
        <w:t>ie</w:t>
      </w:r>
      <w:proofErr w:type="spellEnd"/>
      <w:r w:rsidRPr="007D6C2B">
        <w:t xml:space="preserve">” </w:t>
      </w:r>
      <w:proofErr w:type="spellStart"/>
      <w:r w:rsidRPr="007D6C2B">
        <w:t>umfasst</w:t>
      </w:r>
      <w:proofErr w:type="spellEnd"/>
      <w:r w:rsidRPr="007D6C2B">
        <w:t xml:space="preserve">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mehr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nur</w:t>
      </w:r>
      <w:proofErr w:type="spellEnd"/>
      <w:r w:rsidRPr="007D6C2B">
        <w:t xml:space="preserve">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Haushalt</w:t>
      </w:r>
      <w:proofErr w:type="spellEnd"/>
      <w:r w:rsidRPr="007D6C2B">
        <w:t>. Mito, der die Logik des „</w:t>
      </w:r>
      <w:proofErr w:type="spellStart"/>
      <w:r w:rsidRPr="007D6C2B">
        <w:t>ie</w:t>
      </w:r>
      <w:proofErr w:type="spellEnd"/>
      <w:r w:rsidRPr="007D6C2B">
        <w:t xml:space="preserve">” </w:t>
      </w:r>
      <w:proofErr w:type="spellStart"/>
      <w:r w:rsidRPr="007D6C2B">
        <w:t>vorgeschlagen</w:t>
      </w:r>
      <w:proofErr w:type="spellEnd"/>
      <w:r w:rsidRPr="007D6C2B">
        <w:t xml:space="preserve"> hat, </w:t>
      </w:r>
      <w:proofErr w:type="spellStart"/>
      <w:r w:rsidRPr="007D6C2B">
        <w:t>verfasste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Buch </w:t>
      </w:r>
      <w:proofErr w:type="spellStart"/>
      <w:r w:rsidRPr="007D6C2B">
        <w:t>mit</w:t>
      </w:r>
      <w:proofErr w:type="spellEnd"/>
      <w:r w:rsidRPr="007D6C2B">
        <w:t xml:space="preserve"> dem Titel „Die </w:t>
      </w:r>
      <w:proofErr w:type="spellStart"/>
      <w:r w:rsidRPr="007D6C2B">
        <w:t>japanische</w:t>
      </w:r>
      <w:proofErr w:type="spellEnd"/>
      <w:r w:rsidRPr="007D6C2B">
        <w:t xml:space="preserve"> Gesellschaft </w:t>
      </w:r>
      <w:proofErr w:type="spellStart"/>
      <w:r w:rsidRPr="007D6C2B">
        <w:t>als</w:t>
      </w:r>
      <w:proofErr w:type="spellEnd"/>
      <w:r w:rsidRPr="007D6C2B">
        <w:t xml:space="preserve"> „</w:t>
      </w:r>
      <w:proofErr w:type="spellStart"/>
      <w:r w:rsidRPr="007D6C2B">
        <w:t>ie</w:t>
      </w:r>
      <w:proofErr w:type="spellEnd"/>
      <w:r w:rsidRPr="007D6C2B">
        <w:t xml:space="preserve">””. Mit </w:t>
      </w:r>
      <w:proofErr w:type="spellStart"/>
      <w:r w:rsidRPr="007D6C2B">
        <w:t>anderen</w:t>
      </w:r>
      <w:proofErr w:type="spellEnd"/>
      <w:r w:rsidRPr="007D6C2B">
        <w:t xml:space="preserve"> Worten: </w:t>
      </w:r>
      <w:proofErr w:type="spellStart"/>
      <w:r w:rsidRPr="007D6C2B">
        <w:t>Mitsuho</w:t>
      </w:r>
      <w:proofErr w:type="spellEnd"/>
      <w:r w:rsidRPr="007D6C2B">
        <w:t xml:space="preserve"> </w:t>
      </w:r>
      <w:proofErr w:type="spellStart"/>
      <w:r w:rsidRPr="007D6C2B">
        <w:t>betrachtete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und </w:t>
      </w:r>
      <w:proofErr w:type="spellStart"/>
      <w:r w:rsidRPr="007D6C2B">
        <w:t>sogar</w:t>
      </w:r>
      <w:proofErr w:type="spellEnd"/>
      <w:r w:rsidRPr="007D6C2B">
        <w:t xml:space="preserve"> Japan </w:t>
      </w:r>
      <w:proofErr w:type="spellStart"/>
      <w:r w:rsidRPr="007D6C2B">
        <w:t>als</w:t>
      </w:r>
      <w:proofErr w:type="spellEnd"/>
      <w:r w:rsidRPr="007D6C2B">
        <w:t xml:space="preserve"> Nation </w:t>
      </w:r>
      <w:proofErr w:type="spellStart"/>
      <w:r w:rsidRPr="007D6C2B">
        <w:t>durch</w:t>
      </w:r>
      <w:proofErr w:type="spellEnd"/>
      <w:r w:rsidRPr="007D6C2B">
        <w:t xml:space="preserve"> die Linse des „</w:t>
      </w:r>
      <w:proofErr w:type="spellStart"/>
      <w:r w:rsidRPr="007D6C2B">
        <w:t>ie</w:t>
      </w:r>
      <w:proofErr w:type="spellEnd"/>
      <w:r w:rsidRPr="007D6C2B">
        <w:t>”-</w:t>
      </w:r>
      <w:proofErr w:type="spellStart"/>
      <w:r w:rsidRPr="007D6C2B">
        <w:t>Konzepts</w:t>
      </w:r>
      <w:proofErr w:type="spellEnd"/>
      <w:r w:rsidRPr="007D6C2B">
        <w:t>.</w:t>
      </w:r>
    </w:p>
    <w:p w14:paraId="3B45E62B" w14:textId="77777777" w:rsidR="007D6C2B" w:rsidRPr="007D6C2B" w:rsidRDefault="007D6C2B" w:rsidP="007D6C2B">
      <w:r w:rsidRPr="007D6C2B">
        <w:t xml:space="preserve">Fall 2 in </w:t>
      </w:r>
      <w:proofErr w:type="spellStart"/>
      <w:r w:rsidRPr="007D6C2B">
        <w:t>Tabelle</w:t>
      </w:r>
      <w:proofErr w:type="spellEnd"/>
      <w:r w:rsidRPr="007D6C2B">
        <w:t xml:space="preserve"> 1, das </w:t>
      </w:r>
      <w:proofErr w:type="spellStart"/>
      <w:r w:rsidRPr="007D6C2B">
        <w:t>Urteil</w:t>
      </w:r>
      <w:proofErr w:type="spellEnd"/>
      <w:r w:rsidRPr="007D6C2B">
        <w:t xml:space="preserve"> des </w:t>
      </w:r>
      <w:proofErr w:type="spellStart"/>
      <w:r w:rsidRPr="007D6C2B">
        <w:t>Obersten</w:t>
      </w:r>
      <w:proofErr w:type="spellEnd"/>
      <w:r w:rsidRPr="007D6C2B">
        <w:t xml:space="preserve"> </w:t>
      </w:r>
      <w:proofErr w:type="spellStart"/>
      <w:r w:rsidRPr="007D6C2B">
        <w:t>Gerichtshofs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Fall Toyo Oxygen,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das </w:t>
      </w:r>
      <w:proofErr w:type="spellStart"/>
      <w:r w:rsidRPr="007D6C2B">
        <w:t>Urteil</w:t>
      </w:r>
      <w:proofErr w:type="spellEnd"/>
      <w:r w:rsidRPr="007D6C2B">
        <w:t xml:space="preserve"> </w:t>
      </w:r>
      <w:proofErr w:type="spellStart"/>
      <w:r w:rsidRPr="007D6C2B">
        <w:t>bekannt</w:t>
      </w:r>
      <w:proofErr w:type="spellEnd"/>
      <w:r w:rsidRPr="007D6C2B">
        <w:t xml:space="preserve">, das den </w:t>
      </w:r>
      <w:proofErr w:type="spellStart"/>
      <w:r w:rsidRPr="007D6C2B">
        <w:t>Rechtsgrundsatz</w:t>
      </w:r>
      <w:proofErr w:type="spellEnd"/>
      <w:r w:rsidRPr="007D6C2B">
        <w:t xml:space="preserve"> für </w:t>
      </w:r>
      <w:proofErr w:type="spellStart"/>
      <w:r w:rsidRPr="007D6C2B">
        <w:t>Entlassungen</w:t>
      </w:r>
      <w:proofErr w:type="spellEnd"/>
      <w:r w:rsidRPr="007D6C2B">
        <w:t xml:space="preserve"> </w:t>
      </w:r>
      <w:proofErr w:type="spellStart"/>
      <w:r w:rsidRPr="007D6C2B">
        <w:t>aufgrund</w:t>
      </w:r>
      <w:proofErr w:type="spellEnd"/>
      <w:r w:rsidRPr="007D6C2B">
        <w:t xml:space="preserve"> von </w:t>
      </w:r>
      <w:proofErr w:type="spellStart"/>
      <w:r w:rsidRPr="007D6C2B">
        <w:t>Umstrukturierungen</w:t>
      </w:r>
      <w:proofErr w:type="spellEnd"/>
      <w:r w:rsidRPr="007D6C2B">
        <w:t xml:space="preserve"> </w:t>
      </w:r>
      <w:proofErr w:type="spellStart"/>
      <w:r w:rsidRPr="007D6C2B">
        <w:t>festgelegt</w:t>
      </w:r>
      <w:proofErr w:type="spellEnd"/>
      <w:r w:rsidRPr="007D6C2B">
        <w:t xml:space="preserve"> hat. Zum </w:t>
      </w:r>
      <w:proofErr w:type="spellStart"/>
      <w:r w:rsidRPr="007D6C2B">
        <w:t>Zeitpunkt</w:t>
      </w:r>
      <w:proofErr w:type="spellEnd"/>
      <w:r w:rsidRPr="007D6C2B">
        <w:t xml:space="preserve"> der </w:t>
      </w:r>
      <w:proofErr w:type="spellStart"/>
      <w:r w:rsidRPr="007D6C2B">
        <w:t>Entlassungen</w:t>
      </w:r>
      <w:proofErr w:type="spellEnd"/>
      <w:r w:rsidRPr="007D6C2B">
        <w:t xml:space="preserve"> gab es </w:t>
      </w:r>
      <w:proofErr w:type="spellStart"/>
      <w:r w:rsidRPr="007D6C2B">
        <w:t>innerhalb</w:t>
      </w:r>
      <w:proofErr w:type="spellEnd"/>
      <w:r w:rsidRPr="007D6C2B">
        <w:t xml:space="preserve"> der </w:t>
      </w:r>
      <w:proofErr w:type="spellStart"/>
      <w:r w:rsidRPr="007D6C2B">
        <w:t>unternehmensspezifischen</w:t>
      </w:r>
      <w:proofErr w:type="spellEnd"/>
      <w:r w:rsidRPr="007D6C2B">
        <w:t xml:space="preserve"> </w:t>
      </w:r>
      <w:proofErr w:type="spellStart"/>
      <w:r w:rsidRPr="007D6C2B">
        <w:t>Gewerkschaft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Toyo Oxygen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Konflikt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</w:t>
      </w:r>
      <w:proofErr w:type="spellStart"/>
      <w:r w:rsidRPr="007D6C2B">
        <w:t>zwei</w:t>
      </w:r>
      <w:proofErr w:type="spellEnd"/>
      <w:r w:rsidRPr="007D6C2B">
        <w:t xml:space="preserve"> </w:t>
      </w:r>
      <w:proofErr w:type="spellStart"/>
      <w:r w:rsidRPr="007D6C2B">
        <w:t>gegnerischen</w:t>
      </w:r>
      <w:proofErr w:type="spellEnd"/>
      <w:r w:rsidRPr="007D6C2B">
        <w:t xml:space="preserve"> </w:t>
      </w:r>
      <w:proofErr w:type="spellStart"/>
      <w:r w:rsidRPr="007D6C2B">
        <w:t>Fraktionen</w:t>
      </w:r>
      <w:proofErr w:type="spellEnd"/>
      <w:r w:rsidRPr="007D6C2B">
        <w:t xml:space="preserve">. Die </w:t>
      </w:r>
      <w:proofErr w:type="spellStart"/>
      <w:r w:rsidRPr="007D6C2B">
        <w:t>Fraktion</w:t>
      </w:r>
      <w:proofErr w:type="spellEnd"/>
      <w:r w:rsidRPr="007D6C2B">
        <w:t xml:space="preserve">, der die </w:t>
      </w:r>
      <w:proofErr w:type="spellStart"/>
      <w:r w:rsidRPr="007D6C2B">
        <w:t>Befragten</w:t>
      </w:r>
      <w:proofErr w:type="spellEnd"/>
      <w:r w:rsidRPr="007D6C2B">
        <w:t xml:space="preserve"> in Fall 2, Herr X und Herr A, </w:t>
      </w:r>
      <w:proofErr w:type="spellStart"/>
      <w:r w:rsidRPr="007D6C2B">
        <w:t>angehörten</w:t>
      </w:r>
      <w:proofErr w:type="spellEnd"/>
      <w:r w:rsidRPr="007D6C2B">
        <w:t xml:space="preserve">, war </w:t>
      </w:r>
      <w:proofErr w:type="spellStart"/>
      <w:r w:rsidRPr="007D6C2B">
        <w:t>aus</w:t>
      </w:r>
      <w:proofErr w:type="spellEnd"/>
      <w:r w:rsidRPr="007D6C2B">
        <w:t xml:space="preserve"> Sicht des </w:t>
      </w:r>
      <w:proofErr w:type="spellStart"/>
      <w:r w:rsidRPr="007D6C2B">
        <w:t>Unternehmens</w:t>
      </w:r>
      <w:proofErr w:type="spellEnd"/>
      <w:r w:rsidRPr="007D6C2B">
        <w:t xml:space="preserve"> die </w:t>
      </w:r>
      <w:proofErr w:type="spellStart"/>
      <w:r w:rsidRPr="007D6C2B">
        <w:t>gegnerische</w:t>
      </w:r>
      <w:proofErr w:type="spellEnd"/>
      <w:r w:rsidRPr="007D6C2B">
        <w:t xml:space="preserve"> </w:t>
      </w:r>
      <w:proofErr w:type="spellStart"/>
      <w:r w:rsidRPr="007D6C2B">
        <w:t>Fraktion</w:t>
      </w:r>
      <w:proofErr w:type="spellEnd"/>
      <w:r w:rsidRPr="007D6C2B">
        <w:t xml:space="preserve">. Die </w:t>
      </w:r>
      <w:proofErr w:type="spellStart"/>
      <w:r w:rsidRPr="007D6C2B">
        <w:t>andere</w:t>
      </w:r>
      <w:proofErr w:type="spellEnd"/>
      <w:r w:rsidRPr="007D6C2B">
        <w:t xml:space="preserve"> </w:t>
      </w:r>
      <w:proofErr w:type="spellStart"/>
      <w:r w:rsidRPr="007D6C2B">
        <w:t>Fraktion</w:t>
      </w:r>
      <w:proofErr w:type="spellEnd"/>
      <w:r w:rsidRPr="007D6C2B">
        <w:t xml:space="preserve"> </w:t>
      </w:r>
      <w:proofErr w:type="spellStart"/>
      <w:r w:rsidRPr="007D6C2B">
        <w:t>unterstützte</w:t>
      </w:r>
      <w:proofErr w:type="spellEnd"/>
      <w:r w:rsidRPr="007D6C2B">
        <w:t xml:space="preserve"> das </w:t>
      </w:r>
      <w:proofErr w:type="spellStart"/>
      <w:r w:rsidRPr="007D6C2B">
        <w:t>Unternehmen</w:t>
      </w:r>
      <w:proofErr w:type="spellEnd"/>
      <w:r w:rsidRPr="007D6C2B">
        <w:t xml:space="preserve">. Vor den </w:t>
      </w:r>
      <w:proofErr w:type="spellStart"/>
      <w:r w:rsidRPr="007D6C2B">
        <w:t>Entlassungen</w:t>
      </w:r>
      <w:proofErr w:type="spellEnd"/>
      <w:r w:rsidRPr="007D6C2B">
        <w:t xml:space="preserve"> </w:t>
      </w:r>
      <w:proofErr w:type="spellStart"/>
      <w:r w:rsidRPr="007D6C2B">
        <w:t>aufgrund</w:t>
      </w:r>
      <w:proofErr w:type="spellEnd"/>
      <w:r w:rsidRPr="007D6C2B">
        <w:t xml:space="preserve"> der </w:t>
      </w:r>
      <w:proofErr w:type="spellStart"/>
      <w:r w:rsidRPr="007D6C2B">
        <w:t>Umstrukturierung</w:t>
      </w:r>
      <w:proofErr w:type="spellEnd"/>
      <w:r w:rsidRPr="007D6C2B">
        <w:t xml:space="preserve"> </w:t>
      </w:r>
      <w:proofErr w:type="spellStart"/>
      <w:r w:rsidRPr="007D6C2B">
        <w:t>beantragten</w:t>
      </w:r>
      <w:proofErr w:type="spellEnd"/>
      <w:r w:rsidRPr="007D6C2B">
        <w:t xml:space="preserve"> Herr X und seine Gruppe </w:t>
      </w:r>
      <w:proofErr w:type="spellStart"/>
      <w:r w:rsidRPr="007D6C2B">
        <w:t>Versetzungen</w:t>
      </w:r>
      <w:proofErr w:type="spellEnd"/>
      <w:r w:rsidRPr="007D6C2B">
        <w:t xml:space="preserve"> und </w:t>
      </w:r>
      <w:proofErr w:type="spellStart"/>
      <w:r w:rsidRPr="007D6C2B">
        <w:t>freiwillige</w:t>
      </w:r>
      <w:proofErr w:type="spellEnd"/>
      <w:r w:rsidRPr="007D6C2B">
        <w:t xml:space="preserve"> </w:t>
      </w:r>
      <w:proofErr w:type="spellStart"/>
      <w:r w:rsidRPr="007D6C2B">
        <w:t>Ruhestandsregelungen</w:t>
      </w:r>
      <w:proofErr w:type="spellEnd"/>
      <w:r w:rsidRPr="007D6C2B">
        <w:t xml:space="preserve">, die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abgelehnt</w:t>
      </w:r>
      <w:proofErr w:type="spellEnd"/>
      <w:r w:rsidRPr="007D6C2B">
        <w:t xml:space="preserve"> </w:t>
      </w:r>
      <w:proofErr w:type="spellStart"/>
      <w:r w:rsidRPr="007D6C2B">
        <w:t>wurden</w:t>
      </w:r>
      <w:proofErr w:type="spellEnd"/>
      <w:r w:rsidRPr="007D6C2B">
        <w:t xml:space="preserve">. Auch </w:t>
      </w:r>
      <w:proofErr w:type="spellStart"/>
      <w:r w:rsidRPr="007D6C2B">
        <w:t>Tarifverhandlungen</w:t>
      </w:r>
      <w:proofErr w:type="spellEnd"/>
      <w:r w:rsidRPr="007D6C2B">
        <w:t xml:space="preserve"> </w:t>
      </w:r>
      <w:proofErr w:type="spellStart"/>
      <w:r w:rsidRPr="007D6C2B">
        <w:t>wurden</w:t>
      </w:r>
      <w:proofErr w:type="spellEnd"/>
      <w:r w:rsidRPr="007D6C2B">
        <w:t xml:space="preserve"> </w:t>
      </w:r>
      <w:proofErr w:type="spellStart"/>
      <w:r w:rsidRPr="007D6C2B">
        <w:t>abgelehnt</w:t>
      </w:r>
      <w:proofErr w:type="spellEnd"/>
      <w:r w:rsidRPr="007D6C2B">
        <w:t xml:space="preserve">. </w:t>
      </w:r>
      <w:proofErr w:type="spellStart"/>
      <w:r w:rsidRPr="007D6C2B">
        <w:t>Infolgedessen</w:t>
      </w:r>
      <w:proofErr w:type="spellEnd"/>
      <w:r w:rsidRPr="007D6C2B">
        <w:t xml:space="preserve"> </w:t>
      </w:r>
      <w:proofErr w:type="spellStart"/>
      <w:r w:rsidRPr="007D6C2B">
        <w:t>wurden</w:t>
      </w:r>
      <w:proofErr w:type="spellEnd"/>
      <w:r w:rsidRPr="007D6C2B">
        <w:t xml:space="preserve"> Herr X und seine Gruppe </w:t>
      </w:r>
      <w:proofErr w:type="spellStart"/>
      <w:r w:rsidRPr="007D6C2B">
        <w:t>entlassen</w:t>
      </w:r>
      <w:proofErr w:type="spellEnd"/>
      <w:r w:rsidRPr="007D6C2B">
        <w:t xml:space="preserve">. Aus </w:t>
      </w:r>
      <w:proofErr w:type="spellStart"/>
      <w:r w:rsidRPr="007D6C2B">
        <w:t>ihrer</w:t>
      </w:r>
      <w:proofErr w:type="spellEnd"/>
      <w:r w:rsidRPr="007D6C2B">
        <w:t xml:space="preserve"> Sicht </w:t>
      </w:r>
      <w:proofErr w:type="spellStart"/>
      <w:r w:rsidRPr="007D6C2B">
        <w:t>verhielt</w:t>
      </w:r>
      <w:proofErr w:type="spellEnd"/>
      <w:r w:rsidRPr="007D6C2B">
        <w:t xml:space="preserve"> </w:t>
      </w:r>
      <w:proofErr w:type="spellStart"/>
      <w:r w:rsidRPr="007D6C2B">
        <w:t>sich</w:t>
      </w:r>
      <w:proofErr w:type="spellEnd"/>
      <w:r w:rsidRPr="007D6C2B">
        <w:t xml:space="preserve"> die </w:t>
      </w:r>
      <w:proofErr w:type="spellStart"/>
      <w:r w:rsidRPr="007D6C2B">
        <w:t>Unternehmensleitung</w:t>
      </w:r>
      <w:proofErr w:type="spellEnd"/>
      <w:r w:rsidRPr="007D6C2B">
        <w:t xml:space="preserve"> so, </w:t>
      </w:r>
      <w:proofErr w:type="spellStart"/>
      <w:r w:rsidRPr="007D6C2B">
        <w:t>dass</w:t>
      </w:r>
      <w:proofErr w:type="spellEnd"/>
      <w:r w:rsidRPr="007D6C2B">
        <w:t xml:space="preserve"> </w:t>
      </w:r>
      <w:proofErr w:type="spellStart"/>
      <w:r w:rsidRPr="007D6C2B">
        <w:t>sie</w:t>
      </w:r>
      <w:proofErr w:type="spellEnd"/>
      <w:r w:rsidRPr="007D6C2B">
        <w:t xml:space="preserve"> dies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Versuch</w:t>
      </w:r>
      <w:proofErr w:type="spellEnd"/>
      <w:r w:rsidRPr="007D6C2B">
        <w:t xml:space="preserve"> </w:t>
      </w:r>
      <w:proofErr w:type="spellStart"/>
      <w:r w:rsidRPr="007D6C2B">
        <w:t>empfanden</w:t>
      </w:r>
      <w:proofErr w:type="spellEnd"/>
      <w:r w:rsidRPr="007D6C2B">
        <w:t xml:space="preserve">, </w:t>
      </w:r>
      <w:proofErr w:type="spellStart"/>
      <w:r w:rsidRPr="007D6C2B">
        <w:t>ihre</w:t>
      </w:r>
      <w:proofErr w:type="spellEnd"/>
      <w:r w:rsidRPr="007D6C2B">
        <w:t xml:space="preserve"> </w:t>
      </w:r>
      <w:proofErr w:type="spellStart"/>
      <w:r w:rsidRPr="007D6C2B">
        <w:t>Fraktion</w:t>
      </w:r>
      <w:proofErr w:type="spellEnd"/>
      <w:r w:rsidRPr="007D6C2B">
        <w:t xml:space="preserve"> </w:t>
      </w:r>
      <w:proofErr w:type="spellStart"/>
      <w:r w:rsidRPr="007D6C2B">
        <w:t>aus</w:t>
      </w:r>
      <w:proofErr w:type="spellEnd"/>
      <w:r w:rsidRPr="007D6C2B">
        <w:t xml:space="preserve"> dem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vertreiben</w:t>
      </w:r>
      <w:proofErr w:type="spellEnd"/>
      <w:r w:rsidRPr="007D6C2B">
        <w:t xml:space="preserve">. Dies </w:t>
      </w:r>
      <w:proofErr w:type="spellStart"/>
      <w:r w:rsidRPr="007D6C2B">
        <w:t>führte</w:t>
      </w:r>
      <w:proofErr w:type="spellEnd"/>
      <w:r w:rsidRPr="007D6C2B">
        <w:t xml:space="preserve"> </w:t>
      </w:r>
      <w:proofErr w:type="spellStart"/>
      <w:r w:rsidRPr="007D6C2B">
        <w:t>dazu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der </w:t>
      </w:r>
      <w:proofErr w:type="spellStart"/>
      <w:r w:rsidRPr="007D6C2B">
        <w:t>Arbeitskonflikt</w:t>
      </w:r>
      <w:proofErr w:type="spellEnd"/>
      <w:r w:rsidRPr="007D6C2B">
        <w:t xml:space="preserve"> </w:t>
      </w:r>
      <w:proofErr w:type="spellStart"/>
      <w:r w:rsidRPr="007D6C2B">
        <w:t>innerhalb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unüberbrückbar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 und </w:t>
      </w:r>
      <w:proofErr w:type="spellStart"/>
      <w:r w:rsidRPr="007D6C2B">
        <w:t>vor</w:t>
      </w:r>
      <w:proofErr w:type="spellEnd"/>
      <w:r w:rsidRPr="007D6C2B">
        <w:t xml:space="preserve"> </w:t>
      </w:r>
      <w:proofErr w:type="spellStart"/>
      <w:r w:rsidRPr="007D6C2B">
        <w:t>Gericht</w:t>
      </w:r>
      <w:proofErr w:type="spellEnd"/>
      <w:r w:rsidRPr="007D6C2B">
        <w:t xml:space="preserve"> </w:t>
      </w:r>
      <w:proofErr w:type="spellStart"/>
      <w:r w:rsidRPr="007D6C2B">
        <w:t>endete</w:t>
      </w:r>
      <w:proofErr w:type="spellEnd"/>
      <w:r w:rsidRPr="007D6C2B">
        <w:t>.</w:t>
      </w:r>
    </w:p>
    <w:p w14:paraId="039BCB9A" w14:textId="77777777" w:rsidR="007D6C2B" w:rsidRPr="007D6C2B" w:rsidRDefault="007D6C2B" w:rsidP="007D6C2B">
      <w:r w:rsidRPr="007D6C2B">
        <w:t xml:space="preserve">Fall 3 in </w:t>
      </w:r>
      <w:proofErr w:type="spellStart"/>
      <w:r w:rsidRPr="007D6C2B">
        <w:t>Tabelle</w:t>
      </w:r>
      <w:proofErr w:type="spellEnd"/>
      <w:r w:rsidRPr="007D6C2B">
        <w:t xml:space="preserve"> 1, der Fall Hitachi Medico,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das </w:t>
      </w:r>
      <w:proofErr w:type="spellStart"/>
      <w:r w:rsidRPr="007D6C2B">
        <w:t>Urteil</w:t>
      </w:r>
      <w:proofErr w:type="spellEnd"/>
      <w:r w:rsidRPr="007D6C2B">
        <w:t xml:space="preserve"> </w:t>
      </w:r>
      <w:proofErr w:type="spellStart"/>
      <w:r w:rsidRPr="007D6C2B">
        <w:t>bekannt</w:t>
      </w:r>
      <w:proofErr w:type="spellEnd"/>
      <w:r w:rsidRPr="007D6C2B">
        <w:t xml:space="preserve">, das den </w:t>
      </w:r>
      <w:proofErr w:type="spellStart"/>
      <w:r w:rsidRPr="007D6C2B">
        <w:t>Rechtsgrundsatz</w:t>
      </w:r>
      <w:proofErr w:type="spellEnd"/>
      <w:r w:rsidRPr="007D6C2B">
        <w:t xml:space="preserve"> </w:t>
      </w:r>
      <w:proofErr w:type="spellStart"/>
      <w:r w:rsidRPr="007D6C2B">
        <w:t>bezüglich</w:t>
      </w:r>
      <w:proofErr w:type="spellEnd"/>
      <w:r w:rsidRPr="007D6C2B">
        <w:t xml:space="preserve"> der </w:t>
      </w:r>
      <w:proofErr w:type="spellStart"/>
      <w:r w:rsidRPr="007D6C2B">
        <w:t>Kündigung</w:t>
      </w:r>
      <w:proofErr w:type="spellEnd"/>
      <w:r w:rsidRPr="007D6C2B">
        <w:t xml:space="preserve"> von </w:t>
      </w:r>
      <w:proofErr w:type="spellStart"/>
      <w:r w:rsidRPr="007D6C2B">
        <w:t>befristeten</w:t>
      </w:r>
      <w:proofErr w:type="spellEnd"/>
      <w:r w:rsidRPr="007D6C2B">
        <w:t xml:space="preserve"> </w:t>
      </w:r>
      <w:proofErr w:type="spellStart"/>
      <w:r w:rsidRPr="007D6C2B">
        <w:t>Verträgen</w:t>
      </w:r>
      <w:proofErr w:type="spellEnd"/>
      <w:r w:rsidRPr="007D6C2B">
        <w:t xml:space="preserve"> </w:t>
      </w:r>
      <w:proofErr w:type="spellStart"/>
      <w:r w:rsidRPr="007D6C2B">
        <w:t>festgelegt</w:t>
      </w:r>
      <w:proofErr w:type="spellEnd"/>
      <w:r w:rsidRPr="007D6C2B">
        <w:t xml:space="preserve"> hat. </w:t>
      </w:r>
      <w:proofErr w:type="spellStart"/>
      <w:r w:rsidRPr="007D6C2B">
        <w:t>Im</w:t>
      </w:r>
      <w:proofErr w:type="spellEnd"/>
      <w:r w:rsidRPr="007D6C2B">
        <w:t xml:space="preserve"> Fall Hitachi Medico </w:t>
      </w:r>
      <w:proofErr w:type="spellStart"/>
      <w:r w:rsidRPr="007D6C2B">
        <w:t>hieß</w:t>
      </w:r>
      <w:proofErr w:type="spellEnd"/>
      <w:r w:rsidRPr="007D6C2B">
        <w:t xml:space="preserve"> es in der </w:t>
      </w:r>
      <w:proofErr w:type="spellStart"/>
      <w:r w:rsidRPr="007D6C2B">
        <w:t>Einstellungsbroschüre</w:t>
      </w:r>
      <w:proofErr w:type="spellEnd"/>
      <w:r w:rsidRPr="007D6C2B">
        <w:t xml:space="preserve">, </w:t>
      </w:r>
      <w:proofErr w:type="spellStart"/>
      <w:r w:rsidRPr="007D6C2B">
        <w:t>als</w:t>
      </w:r>
      <w:proofErr w:type="spellEnd"/>
      <w:r w:rsidRPr="007D6C2B">
        <w:t xml:space="preserve"> Herr X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Zeitarbeitskraft</w:t>
      </w:r>
      <w:proofErr w:type="spellEnd"/>
      <w:r w:rsidRPr="007D6C2B">
        <w:t xml:space="preserve"> </w:t>
      </w:r>
      <w:proofErr w:type="spellStart"/>
      <w:r w:rsidRPr="007D6C2B">
        <w:t>eingestellt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: „Sie </w:t>
      </w:r>
      <w:proofErr w:type="spellStart"/>
      <w:r w:rsidRPr="007D6C2B">
        <w:t>werden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Monaten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Festangestellter</w:t>
      </w:r>
      <w:proofErr w:type="spellEnd"/>
      <w:r w:rsidRPr="007D6C2B">
        <w:t xml:space="preserve"> </w:t>
      </w:r>
      <w:proofErr w:type="spellStart"/>
      <w:proofErr w:type="gramStart"/>
      <w:r w:rsidRPr="007D6C2B">
        <w:t>eingestellt</w:t>
      </w:r>
      <w:proofErr w:type="spellEnd"/>
      <w:r w:rsidRPr="007D6C2B">
        <w:t>.“</w:t>
      </w:r>
      <w:proofErr w:type="gramEnd"/>
      <w:r w:rsidRPr="007D6C2B">
        <w:t xml:space="preserve"> Herr X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auch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Ablauf</w:t>
      </w:r>
      <w:proofErr w:type="spellEnd"/>
      <w:r w:rsidRPr="007D6C2B">
        <w:t xml:space="preserve"> von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Monaten</w:t>
      </w:r>
      <w:proofErr w:type="spellEnd"/>
      <w:r w:rsidRPr="007D6C2B">
        <w:t xml:space="preserve"> </w:t>
      </w:r>
      <w:proofErr w:type="spellStart"/>
      <w:r w:rsidRPr="007D6C2B">
        <w:t>seit</w:t>
      </w:r>
      <w:proofErr w:type="spellEnd"/>
      <w:r w:rsidRPr="007D6C2B">
        <w:t xml:space="preserve"> seiner </w:t>
      </w:r>
      <w:proofErr w:type="spellStart"/>
      <w:r w:rsidRPr="007D6C2B">
        <w:t>Einstellung</w:t>
      </w:r>
      <w:proofErr w:type="spellEnd"/>
      <w:r w:rsidRPr="007D6C2B">
        <w:t xml:space="preserve"> nicht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Festangestellter</w:t>
      </w:r>
      <w:proofErr w:type="spellEnd"/>
      <w:r w:rsidRPr="007D6C2B">
        <w:t xml:space="preserve"> </w:t>
      </w:r>
      <w:proofErr w:type="spellStart"/>
      <w:r w:rsidRPr="007D6C2B">
        <w:t>eingestellt</w:t>
      </w:r>
      <w:proofErr w:type="spellEnd"/>
      <w:r w:rsidRPr="007D6C2B">
        <w:t xml:space="preserve">. </w:t>
      </w:r>
      <w:proofErr w:type="gramStart"/>
      <w:r w:rsidRPr="007D6C2B">
        <w:t>Als</w:t>
      </w:r>
      <w:proofErr w:type="gramEnd"/>
      <w:r w:rsidRPr="007D6C2B">
        <w:t xml:space="preserve"> </w:t>
      </w:r>
      <w:proofErr w:type="spellStart"/>
      <w:r w:rsidRPr="007D6C2B">
        <w:t>sich</w:t>
      </w:r>
      <w:proofErr w:type="spellEnd"/>
      <w:r w:rsidRPr="007D6C2B">
        <w:t xml:space="preserve"> die </w:t>
      </w:r>
      <w:proofErr w:type="spellStart"/>
      <w:r w:rsidRPr="007D6C2B">
        <w:t>Geschäftslage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verschlechterte</w:t>
      </w:r>
      <w:proofErr w:type="spellEnd"/>
      <w:r w:rsidRPr="007D6C2B">
        <w:t xml:space="preserve">, </w:t>
      </w:r>
      <w:proofErr w:type="spellStart"/>
      <w:r w:rsidRPr="007D6C2B">
        <w:t>wurden</w:t>
      </w:r>
      <w:proofErr w:type="spellEnd"/>
      <w:r w:rsidRPr="007D6C2B">
        <w:t xml:space="preserve"> die </w:t>
      </w:r>
      <w:proofErr w:type="spellStart"/>
      <w:r w:rsidRPr="007D6C2B">
        <w:t>Zeitarbeitskräfte</w:t>
      </w:r>
      <w:proofErr w:type="spellEnd"/>
      <w:r w:rsidRPr="007D6C2B">
        <w:t xml:space="preserve"> </w:t>
      </w:r>
      <w:proofErr w:type="spellStart"/>
      <w:r w:rsidRPr="007D6C2B">
        <w:t>versammelt</w:t>
      </w:r>
      <w:proofErr w:type="spellEnd"/>
      <w:r w:rsidRPr="007D6C2B">
        <w:t xml:space="preserve"> und </w:t>
      </w:r>
      <w:proofErr w:type="spellStart"/>
      <w:r w:rsidRPr="007D6C2B">
        <w:t>über</w:t>
      </w:r>
      <w:proofErr w:type="spellEnd"/>
      <w:r w:rsidRPr="007D6C2B">
        <w:t xml:space="preserve"> die </w:t>
      </w:r>
      <w:proofErr w:type="spellStart"/>
      <w:r w:rsidRPr="007D6C2B">
        <w:t>Kündigung</w:t>
      </w:r>
      <w:proofErr w:type="spellEnd"/>
      <w:r w:rsidRPr="007D6C2B">
        <w:t xml:space="preserve"> </w:t>
      </w:r>
      <w:proofErr w:type="spellStart"/>
      <w:r w:rsidRPr="007D6C2B">
        <w:t>ihrer</w:t>
      </w:r>
      <w:proofErr w:type="spellEnd"/>
      <w:r w:rsidRPr="007D6C2B">
        <w:t xml:space="preserve"> </w:t>
      </w:r>
      <w:proofErr w:type="spellStart"/>
      <w:r w:rsidRPr="007D6C2B">
        <w:t>Verträge</w:t>
      </w:r>
      <w:proofErr w:type="spellEnd"/>
      <w:r w:rsidRPr="007D6C2B">
        <w:t xml:space="preserve"> </w:t>
      </w:r>
      <w:proofErr w:type="spellStart"/>
      <w:r w:rsidRPr="007D6C2B">
        <w:t>informiert</w:t>
      </w:r>
      <w:proofErr w:type="spellEnd"/>
      <w:r w:rsidRPr="007D6C2B">
        <w:t>.</w:t>
      </w:r>
    </w:p>
    <w:p w14:paraId="0ADE8D78" w14:textId="77777777" w:rsidR="007D6C2B" w:rsidRPr="007D6C2B" w:rsidRDefault="007D6C2B" w:rsidP="007D6C2B">
      <w:r w:rsidRPr="007D6C2B">
        <w:t xml:space="preserve">Als </w:t>
      </w:r>
      <w:proofErr w:type="spellStart"/>
      <w:r w:rsidRPr="007D6C2B">
        <w:t>Reaktion</w:t>
      </w:r>
      <w:proofErr w:type="spellEnd"/>
      <w:r w:rsidRPr="007D6C2B">
        <w:t xml:space="preserve"> auf die </w:t>
      </w:r>
      <w:proofErr w:type="spellStart"/>
      <w:r w:rsidRPr="007D6C2B">
        <w:t>Kündigung</w:t>
      </w:r>
      <w:proofErr w:type="spellEnd"/>
      <w:r w:rsidRPr="007D6C2B">
        <w:t xml:space="preserve"> war Herr X der </w:t>
      </w:r>
      <w:proofErr w:type="spellStart"/>
      <w:r w:rsidRPr="007D6C2B">
        <w:t>Ansicht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das </w:t>
      </w:r>
      <w:proofErr w:type="spellStart"/>
      <w:r w:rsidRPr="007D6C2B">
        <w:t>Unternehmen</w:t>
      </w:r>
      <w:proofErr w:type="spellEnd"/>
      <w:r w:rsidRPr="007D6C2B">
        <w:t xml:space="preserve"> sein </w:t>
      </w:r>
      <w:proofErr w:type="spellStart"/>
      <w:r w:rsidRPr="007D6C2B">
        <w:t>Versprechen</w:t>
      </w:r>
      <w:proofErr w:type="spellEnd"/>
      <w:r w:rsidRPr="007D6C2B">
        <w:t xml:space="preserve">, </w:t>
      </w:r>
      <w:proofErr w:type="spellStart"/>
      <w:r w:rsidRPr="007D6C2B">
        <w:t>ihn</w:t>
      </w:r>
      <w:proofErr w:type="spellEnd"/>
      <w:r w:rsidRPr="007D6C2B">
        <w:t xml:space="preserve"> „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Monaten</w:t>
      </w:r>
      <w:proofErr w:type="spellEnd"/>
      <w:r w:rsidRPr="007D6C2B">
        <w:t xml:space="preserve"> </w:t>
      </w:r>
      <w:proofErr w:type="spellStart"/>
      <w:r w:rsidRPr="007D6C2B">
        <w:t>zum</w:t>
      </w:r>
      <w:proofErr w:type="spellEnd"/>
      <w:r w:rsidRPr="007D6C2B">
        <w:t xml:space="preserve"> </w:t>
      </w:r>
      <w:proofErr w:type="spellStart"/>
      <w:r w:rsidRPr="007D6C2B">
        <w:t>festangestellten</w:t>
      </w:r>
      <w:proofErr w:type="spellEnd"/>
      <w:r w:rsidRPr="007D6C2B">
        <w:t xml:space="preserve"> Mitarbeiter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proofErr w:type="gramStart"/>
      <w:r w:rsidRPr="007D6C2B">
        <w:t>befördern</w:t>
      </w:r>
      <w:proofErr w:type="spellEnd"/>
      <w:r w:rsidRPr="007D6C2B">
        <w:t>“</w:t>
      </w:r>
      <w:proofErr w:type="gramEnd"/>
      <w:r w:rsidRPr="007D6C2B">
        <w:t xml:space="preserve">, </w:t>
      </w:r>
      <w:proofErr w:type="spellStart"/>
      <w:r w:rsidRPr="007D6C2B">
        <w:t>einhalten</w:t>
      </w:r>
      <w:proofErr w:type="spellEnd"/>
      <w:r w:rsidRPr="007D6C2B">
        <w:t xml:space="preserve"> </w:t>
      </w:r>
      <w:proofErr w:type="spellStart"/>
      <w:r w:rsidRPr="007D6C2B">
        <w:t>müsse</w:t>
      </w:r>
      <w:proofErr w:type="spellEnd"/>
      <w:r w:rsidRPr="007D6C2B">
        <w:t xml:space="preserve"> und </w:t>
      </w:r>
      <w:proofErr w:type="spellStart"/>
      <w:r w:rsidRPr="007D6C2B">
        <w:t>dass</w:t>
      </w:r>
      <w:proofErr w:type="spellEnd"/>
      <w:r w:rsidRPr="007D6C2B">
        <w:t xml:space="preserve"> die </w:t>
      </w:r>
      <w:proofErr w:type="spellStart"/>
      <w:r w:rsidRPr="007D6C2B">
        <w:t>Kündigung</w:t>
      </w:r>
      <w:proofErr w:type="spellEnd"/>
      <w:r w:rsidRPr="007D6C2B">
        <w:t xml:space="preserve"> </w:t>
      </w:r>
      <w:proofErr w:type="spellStart"/>
      <w:r w:rsidRPr="007D6C2B">
        <w:t>ungerechtfertigt</w:t>
      </w:r>
      <w:proofErr w:type="spellEnd"/>
      <w:r w:rsidRPr="007D6C2B">
        <w:t xml:space="preserve"> sei, </w:t>
      </w:r>
      <w:proofErr w:type="spellStart"/>
      <w:r w:rsidRPr="007D6C2B">
        <w:t>weshalb</w:t>
      </w:r>
      <w:proofErr w:type="spellEnd"/>
      <w:r w:rsidRPr="007D6C2B">
        <w:t xml:space="preserve"> er Klage </w:t>
      </w:r>
      <w:proofErr w:type="spellStart"/>
      <w:r w:rsidRPr="007D6C2B">
        <w:t>einreichte</w:t>
      </w:r>
      <w:proofErr w:type="spellEnd"/>
      <w:r w:rsidRPr="007D6C2B">
        <w:t xml:space="preserve">. Wie in den </w:t>
      </w:r>
      <w:proofErr w:type="spellStart"/>
      <w:r w:rsidRPr="007D6C2B">
        <w:t>Fällen</w:t>
      </w:r>
      <w:proofErr w:type="spellEnd"/>
      <w:r w:rsidRPr="007D6C2B">
        <w:t xml:space="preserve"> 2 und 3 </w:t>
      </w:r>
      <w:proofErr w:type="spellStart"/>
      <w:r w:rsidRPr="007D6C2B">
        <w:t>führt</w:t>
      </w:r>
      <w:proofErr w:type="spellEnd"/>
      <w:r w:rsidRPr="007D6C2B">
        <w:t xml:space="preserve"> die </w:t>
      </w:r>
      <w:proofErr w:type="spellStart"/>
      <w:r w:rsidRPr="007D6C2B">
        <w:t>Abgrenzung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den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schützenden</w:t>
      </w:r>
      <w:proofErr w:type="spellEnd"/>
      <w:r w:rsidRPr="007D6C2B">
        <w:t xml:space="preserve"> </w:t>
      </w:r>
      <w:proofErr w:type="spellStart"/>
      <w:r w:rsidRPr="007D6C2B">
        <w:t>Personen</w:t>
      </w:r>
      <w:proofErr w:type="spellEnd"/>
      <w:r w:rsidRPr="007D6C2B">
        <w:t xml:space="preserve"> (</w:t>
      </w:r>
      <w:proofErr w:type="spellStart"/>
      <w:r w:rsidRPr="007D6C2B">
        <w:t>unterstützende</w:t>
      </w:r>
      <w:proofErr w:type="spellEnd"/>
      <w:r w:rsidRPr="007D6C2B">
        <w:t xml:space="preserve"> </w:t>
      </w:r>
      <w:proofErr w:type="spellStart"/>
      <w:r w:rsidRPr="007D6C2B">
        <w:t>Fraktionen</w:t>
      </w:r>
      <w:proofErr w:type="spellEnd"/>
      <w:r w:rsidRPr="007D6C2B">
        <w:t xml:space="preserve"> und </w:t>
      </w:r>
      <w:proofErr w:type="spellStart"/>
      <w:r w:rsidRPr="007D6C2B">
        <w:t>festangestellte</w:t>
      </w:r>
      <w:proofErr w:type="spellEnd"/>
      <w:r w:rsidRPr="007D6C2B">
        <w:t xml:space="preserve"> Mitarbeiter) und den nicht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schützenden</w:t>
      </w:r>
      <w:proofErr w:type="spellEnd"/>
      <w:r w:rsidRPr="007D6C2B">
        <w:t xml:space="preserve"> </w:t>
      </w:r>
      <w:proofErr w:type="spellStart"/>
      <w:r w:rsidRPr="007D6C2B">
        <w:t>Personen</w:t>
      </w:r>
      <w:proofErr w:type="spellEnd"/>
      <w:r w:rsidRPr="007D6C2B">
        <w:t xml:space="preserve"> (</w:t>
      </w:r>
      <w:proofErr w:type="spellStart"/>
      <w:r w:rsidRPr="007D6C2B">
        <w:t>gegnerische</w:t>
      </w:r>
      <w:proofErr w:type="spellEnd"/>
      <w:r w:rsidRPr="007D6C2B">
        <w:t xml:space="preserve"> </w:t>
      </w:r>
      <w:proofErr w:type="spellStart"/>
      <w:r w:rsidRPr="007D6C2B">
        <w:t>Fraktionen</w:t>
      </w:r>
      <w:proofErr w:type="spellEnd"/>
      <w:r w:rsidRPr="007D6C2B">
        <w:t xml:space="preserve"> und nicht </w:t>
      </w:r>
      <w:proofErr w:type="spellStart"/>
      <w:r w:rsidRPr="007D6C2B">
        <w:t>festangestellte</w:t>
      </w:r>
      <w:proofErr w:type="spellEnd"/>
      <w:r w:rsidRPr="007D6C2B">
        <w:t xml:space="preserve"> Mitarbeiter)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Streitigkeiten</w:t>
      </w:r>
      <w:proofErr w:type="spellEnd"/>
      <w:r w:rsidRPr="007D6C2B">
        <w:t xml:space="preserve">. Der </w:t>
      </w:r>
      <w:proofErr w:type="spellStart"/>
      <w:r w:rsidRPr="007D6C2B">
        <w:t>diskriminierende</w:t>
      </w:r>
      <w:proofErr w:type="spellEnd"/>
      <w:r w:rsidRPr="007D6C2B">
        <w:t xml:space="preserve"> </w:t>
      </w:r>
      <w:proofErr w:type="spellStart"/>
      <w:r w:rsidRPr="007D6C2B">
        <w:t>Ausschluss</w:t>
      </w:r>
      <w:proofErr w:type="spellEnd"/>
      <w:r w:rsidRPr="007D6C2B">
        <w:t xml:space="preserve"> der </w:t>
      </w:r>
      <w:proofErr w:type="spellStart"/>
      <w:r w:rsidRPr="007D6C2B">
        <w:t>gegnerischen</w:t>
      </w:r>
      <w:proofErr w:type="spellEnd"/>
      <w:r w:rsidRPr="007D6C2B">
        <w:t xml:space="preserve"> </w:t>
      </w:r>
      <w:proofErr w:type="spellStart"/>
      <w:r w:rsidRPr="007D6C2B">
        <w:t>Fraktion</w:t>
      </w:r>
      <w:proofErr w:type="spellEnd"/>
      <w:r w:rsidRPr="007D6C2B">
        <w:t xml:space="preserve"> – der nicht </w:t>
      </w:r>
      <w:proofErr w:type="spellStart"/>
      <w:r w:rsidRPr="007D6C2B">
        <w:t>festangestellten</w:t>
      </w:r>
      <w:proofErr w:type="spellEnd"/>
      <w:r w:rsidRPr="007D6C2B">
        <w:t xml:space="preserve"> Mitarbeiter – </w:t>
      </w:r>
      <w:proofErr w:type="spellStart"/>
      <w:r w:rsidRPr="007D6C2B">
        <w:t>eskaliert</w:t>
      </w:r>
      <w:proofErr w:type="spellEnd"/>
      <w:r w:rsidRPr="007D6C2B">
        <w:t xml:space="preserve"> den </w:t>
      </w:r>
      <w:proofErr w:type="spellStart"/>
      <w:r w:rsidRPr="007D6C2B">
        <w:t>Konflikt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einem</w:t>
      </w:r>
      <w:proofErr w:type="spellEnd"/>
      <w:r w:rsidRPr="007D6C2B">
        <w:t xml:space="preserve"> </w:t>
      </w:r>
      <w:proofErr w:type="spellStart"/>
      <w:r w:rsidRPr="007D6C2B">
        <w:t>Rechtsstreit</w:t>
      </w:r>
      <w:proofErr w:type="spellEnd"/>
      <w:r w:rsidRPr="007D6C2B">
        <w:t xml:space="preserve">. </w:t>
      </w:r>
    </w:p>
    <w:p w14:paraId="16E5E2C1" w14:textId="77777777" w:rsidR="007D6C2B" w:rsidRPr="007D6C2B" w:rsidRDefault="007D6C2B" w:rsidP="007D6C2B">
      <w:r w:rsidRPr="007D6C2B">
        <w:t xml:space="preserve">Auf der </w:t>
      </w:r>
      <w:proofErr w:type="spellStart"/>
      <w:r w:rsidRPr="007D6C2B">
        <w:t>Konferenz</w:t>
      </w:r>
      <w:proofErr w:type="spellEnd"/>
      <w:r w:rsidRPr="007D6C2B">
        <w:t xml:space="preserve"> der Japan Management Association 2019 </w:t>
      </w:r>
      <w:proofErr w:type="spellStart"/>
      <w:r w:rsidRPr="007D6C2B">
        <w:t>stellte</w:t>
      </w:r>
      <w:proofErr w:type="spellEnd"/>
      <w:r w:rsidRPr="007D6C2B">
        <w:t xml:space="preserve"> Ikeuchi (2019) </w:t>
      </w:r>
      <w:proofErr w:type="spellStart"/>
      <w:r w:rsidRPr="007D6C2B">
        <w:t>unter</w:t>
      </w:r>
      <w:proofErr w:type="spellEnd"/>
      <w:r w:rsidRPr="007D6C2B">
        <w:t xml:space="preserve"> </w:t>
      </w:r>
      <w:proofErr w:type="spellStart"/>
      <w:r w:rsidRPr="007D6C2B">
        <w:t>Bezugnahme</w:t>
      </w:r>
      <w:proofErr w:type="spellEnd"/>
      <w:r w:rsidRPr="007D6C2B">
        <w:t xml:space="preserve"> auf Mito (1991) das </w:t>
      </w:r>
      <w:proofErr w:type="spellStart"/>
      <w:r w:rsidRPr="007D6C2B">
        <w:t>herkömmliche</w:t>
      </w:r>
      <w:proofErr w:type="spellEnd"/>
      <w:r w:rsidRPr="007D6C2B">
        <w:t xml:space="preserve"> </w:t>
      </w:r>
      <w:proofErr w:type="spellStart"/>
      <w:r w:rsidRPr="007D6C2B">
        <w:t>Verständnis</w:t>
      </w:r>
      <w:proofErr w:type="spellEnd"/>
      <w:r w:rsidRPr="007D6C2B">
        <w:t xml:space="preserve"> des </w:t>
      </w:r>
      <w:proofErr w:type="spellStart"/>
      <w:r w:rsidRPr="007D6C2B">
        <w:t>japanischen</w:t>
      </w:r>
      <w:proofErr w:type="spellEnd"/>
      <w:r w:rsidRPr="007D6C2B">
        <w:t xml:space="preserve"> </w:t>
      </w:r>
      <w:proofErr w:type="spellStart"/>
      <w:r w:rsidRPr="007D6C2B">
        <w:t>Managementstils</w:t>
      </w:r>
      <w:proofErr w:type="spellEnd"/>
      <w:r w:rsidRPr="007D6C2B">
        <w:t xml:space="preserve"> in Frage. </w:t>
      </w:r>
    </w:p>
    <w:p w14:paraId="0C38B566" w14:textId="77777777" w:rsidR="007D6C2B" w:rsidRPr="007D6C2B" w:rsidRDefault="007D6C2B" w:rsidP="007D6C2B">
      <w:proofErr w:type="spellStart"/>
      <w:r w:rsidRPr="007D6C2B">
        <w:t>Traditionell</w:t>
      </w:r>
      <w:proofErr w:type="spellEnd"/>
      <w:r w:rsidRPr="007D6C2B">
        <w:t xml:space="preserve"> </w:t>
      </w:r>
      <w:proofErr w:type="spellStart"/>
      <w:r w:rsidRPr="007D6C2B">
        <w:t>galten</w:t>
      </w:r>
      <w:proofErr w:type="spellEnd"/>
      <w:r w:rsidRPr="007D6C2B">
        <w:t xml:space="preserve"> „</w:t>
      </w:r>
      <w:proofErr w:type="spellStart"/>
      <w:r w:rsidRPr="007D6C2B">
        <w:t>lebenslange</w:t>
      </w:r>
      <w:proofErr w:type="spellEnd"/>
      <w:r w:rsidRPr="007D6C2B">
        <w:t xml:space="preserve"> </w:t>
      </w:r>
      <w:proofErr w:type="spellStart"/>
      <w:r w:rsidRPr="007D6C2B">
        <w:t>Beschäftigung</w:t>
      </w:r>
      <w:proofErr w:type="spellEnd"/>
      <w:r w:rsidRPr="007D6C2B">
        <w:t xml:space="preserve">, </w:t>
      </w:r>
      <w:proofErr w:type="spellStart"/>
      <w:r w:rsidRPr="007D6C2B">
        <w:t>altersabhängige</w:t>
      </w:r>
      <w:proofErr w:type="spellEnd"/>
      <w:r w:rsidRPr="007D6C2B">
        <w:t xml:space="preserve"> </w:t>
      </w:r>
      <w:proofErr w:type="spellStart"/>
      <w:r w:rsidRPr="007D6C2B">
        <w:t>Bezahlung</w:t>
      </w:r>
      <w:proofErr w:type="spellEnd"/>
      <w:r w:rsidRPr="007D6C2B">
        <w:t xml:space="preserve"> und </w:t>
      </w:r>
      <w:proofErr w:type="spellStart"/>
      <w:r w:rsidRPr="007D6C2B">
        <w:t>unternehmensinterne</w:t>
      </w:r>
      <w:proofErr w:type="spellEnd"/>
      <w:r w:rsidRPr="007D6C2B">
        <w:t xml:space="preserve"> </w:t>
      </w:r>
      <w:proofErr w:type="spellStart"/>
      <w:r w:rsidRPr="007D6C2B">
        <w:t>Gewerkschaften</w:t>
      </w:r>
      <w:proofErr w:type="spellEnd"/>
      <w:r w:rsidRPr="007D6C2B">
        <w:t xml:space="preserve">” </w:t>
      </w:r>
      <w:proofErr w:type="spellStart"/>
      <w:r w:rsidRPr="007D6C2B">
        <w:t>als</w:t>
      </w:r>
      <w:proofErr w:type="spellEnd"/>
      <w:r w:rsidRPr="007D6C2B">
        <w:t xml:space="preserve"> die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Säulen</w:t>
      </w:r>
      <w:proofErr w:type="spellEnd"/>
      <w:r w:rsidRPr="007D6C2B">
        <w:t xml:space="preserve"> des </w:t>
      </w:r>
      <w:proofErr w:type="spellStart"/>
      <w:r w:rsidRPr="007D6C2B">
        <w:t>japanischen</w:t>
      </w:r>
      <w:proofErr w:type="spellEnd"/>
      <w:r w:rsidRPr="007D6C2B">
        <w:t xml:space="preserve"> Managements. Ikeuchi (2019) </w:t>
      </w:r>
      <w:proofErr w:type="spellStart"/>
      <w:r w:rsidRPr="007D6C2B">
        <w:t>definierte</w:t>
      </w:r>
      <w:proofErr w:type="spellEnd"/>
      <w:r w:rsidRPr="007D6C2B">
        <w:t xml:space="preserve"> das </w:t>
      </w:r>
      <w:proofErr w:type="spellStart"/>
      <w:r w:rsidRPr="007D6C2B">
        <w:t>japanische</w:t>
      </w:r>
      <w:proofErr w:type="spellEnd"/>
      <w:r w:rsidRPr="007D6C2B">
        <w:t xml:space="preserve"> Management </w:t>
      </w:r>
      <w:proofErr w:type="spellStart"/>
      <w:r w:rsidRPr="007D6C2B">
        <w:t>jedoch</w:t>
      </w:r>
      <w:proofErr w:type="spellEnd"/>
      <w:r w:rsidRPr="007D6C2B">
        <w:t xml:space="preserve"> neu und </w:t>
      </w:r>
      <w:proofErr w:type="spellStart"/>
      <w:r w:rsidRPr="007D6C2B">
        <w:t>unterteilte</w:t>
      </w:r>
      <w:proofErr w:type="spellEnd"/>
      <w:r w:rsidRPr="007D6C2B">
        <w:t xml:space="preserve"> es in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Ebenen</w:t>
      </w:r>
      <w:proofErr w:type="spellEnd"/>
      <w:r w:rsidRPr="007D6C2B">
        <w:t xml:space="preserve">: </w:t>
      </w:r>
      <w:proofErr w:type="spellStart"/>
      <w:r w:rsidRPr="007D6C2B">
        <w:t>Diese</w:t>
      </w:r>
      <w:proofErr w:type="spellEnd"/>
      <w:r w:rsidRPr="007D6C2B">
        <w:t xml:space="preserve">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Ebenen</w:t>
      </w:r>
      <w:proofErr w:type="spellEnd"/>
      <w:r w:rsidRPr="007D6C2B">
        <w:t xml:space="preserve"> </w:t>
      </w:r>
      <w:proofErr w:type="spellStart"/>
      <w:r w:rsidRPr="007D6C2B">
        <w:t>sind</w:t>
      </w:r>
      <w:proofErr w:type="spellEnd"/>
      <w:r w:rsidRPr="007D6C2B">
        <w:t xml:space="preserve">: (1) die Ebene der Systeme und </w:t>
      </w:r>
      <w:proofErr w:type="spellStart"/>
      <w:r w:rsidRPr="007D6C2B">
        <w:t>Praktiken</w:t>
      </w:r>
      <w:proofErr w:type="spellEnd"/>
      <w:r w:rsidRPr="007D6C2B">
        <w:t xml:space="preserve"> (</w:t>
      </w:r>
      <w:proofErr w:type="spellStart"/>
      <w:r w:rsidRPr="007D6C2B">
        <w:t>wie</w:t>
      </w:r>
      <w:proofErr w:type="spellEnd"/>
      <w:r w:rsidRPr="007D6C2B">
        <w:t xml:space="preserve"> </w:t>
      </w:r>
      <w:proofErr w:type="spellStart"/>
      <w:r w:rsidRPr="007D6C2B">
        <w:t>Beschäftigungssysteme</w:t>
      </w:r>
      <w:proofErr w:type="spellEnd"/>
      <w:r w:rsidRPr="007D6C2B">
        <w:t xml:space="preserve"> und </w:t>
      </w:r>
      <w:proofErr w:type="spellStart"/>
      <w:r w:rsidRPr="007D6C2B">
        <w:t>Produktionssysteme</w:t>
      </w:r>
      <w:proofErr w:type="spellEnd"/>
      <w:r w:rsidRPr="007D6C2B">
        <w:t xml:space="preserve">), (2) die </w:t>
      </w:r>
      <w:proofErr w:type="spellStart"/>
      <w:r w:rsidRPr="007D6C2B">
        <w:lastRenderedPageBreak/>
        <w:t>strukturelle</w:t>
      </w:r>
      <w:proofErr w:type="spellEnd"/>
      <w:r w:rsidRPr="007D6C2B">
        <w:t xml:space="preserve"> Ebene (die </w:t>
      </w:r>
      <w:proofErr w:type="spellStart"/>
      <w:r w:rsidRPr="007D6C2B">
        <w:t>Struktur</w:t>
      </w:r>
      <w:proofErr w:type="spellEnd"/>
      <w:r w:rsidRPr="007D6C2B">
        <w:t xml:space="preserve"> von </w:t>
      </w:r>
      <w:proofErr w:type="spellStart"/>
      <w:r w:rsidRPr="007D6C2B">
        <w:t>Unternehmensgremien</w:t>
      </w:r>
      <w:proofErr w:type="spellEnd"/>
      <w:r w:rsidRPr="007D6C2B">
        <w:t xml:space="preserve"> und die </w:t>
      </w:r>
      <w:proofErr w:type="spellStart"/>
      <w:r w:rsidRPr="007D6C2B">
        <w:t>Beziehung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dem </w:t>
      </w:r>
      <w:proofErr w:type="spellStart"/>
      <w:r w:rsidRPr="007D6C2B">
        <w:t>Unternehmen</w:t>
      </w:r>
      <w:proofErr w:type="spellEnd"/>
      <w:r w:rsidRPr="007D6C2B">
        <w:t xml:space="preserve"> und seinen </w:t>
      </w:r>
      <w:proofErr w:type="spellStart"/>
      <w:r w:rsidRPr="007D6C2B">
        <w:t>Mitarbeitern</w:t>
      </w:r>
      <w:proofErr w:type="spellEnd"/>
      <w:r w:rsidRPr="007D6C2B">
        <w:t xml:space="preserve">) und (3) die Ebene der </w:t>
      </w:r>
      <w:proofErr w:type="spellStart"/>
      <w:r w:rsidRPr="007D6C2B">
        <w:t>Prinzipien</w:t>
      </w:r>
      <w:proofErr w:type="spellEnd"/>
      <w:r w:rsidRPr="007D6C2B">
        <w:t xml:space="preserve"> (</w:t>
      </w:r>
      <w:proofErr w:type="spellStart"/>
      <w:r w:rsidRPr="007D6C2B">
        <w:t>wie</w:t>
      </w:r>
      <w:proofErr w:type="spellEnd"/>
      <w:r w:rsidRPr="007D6C2B">
        <w:t xml:space="preserve"> die Logik der </w:t>
      </w:r>
      <w:proofErr w:type="spellStart"/>
      <w:r w:rsidRPr="007D6C2B">
        <w:t>Familie</w:t>
      </w:r>
      <w:proofErr w:type="spellEnd"/>
      <w:r w:rsidRPr="007D6C2B">
        <w:t xml:space="preserve"> und des </w:t>
      </w:r>
      <w:proofErr w:type="spellStart"/>
      <w:r w:rsidRPr="007D6C2B">
        <w:t>kollektivistischen</w:t>
      </w:r>
      <w:proofErr w:type="spellEnd"/>
      <w:r w:rsidRPr="007D6C2B">
        <w:t xml:space="preserve"> Managements). Ikeuchi (2019) </w:t>
      </w:r>
      <w:proofErr w:type="spellStart"/>
      <w:r w:rsidRPr="007D6C2B">
        <w:t>argumentiert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„</w:t>
      </w:r>
      <w:proofErr w:type="spellStart"/>
      <w:r w:rsidRPr="007D6C2B">
        <w:t>lebenslange</w:t>
      </w:r>
      <w:proofErr w:type="spellEnd"/>
      <w:r w:rsidRPr="007D6C2B">
        <w:t xml:space="preserve"> </w:t>
      </w:r>
      <w:proofErr w:type="spellStart"/>
      <w:r w:rsidRPr="007D6C2B">
        <w:t>Beschäftigung</w:t>
      </w:r>
      <w:proofErr w:type="spellEnd"/>
      <w:r w:rsidRPr="007D6C2B">
        <w:t xml:space="preserve">, </w:t>
      </w:r>
      <w:proofErr w:type="spellStart"/>
      <w:r w:rsidRPr="007D6C2B">
        <w:t>altersabhängige</w:t>
      </w:r>
      <w:proofErr w:type="spellEnd"/>
      <w:r w:rsidRPr="007D6C2B">
        <w:t xml:space="preserve"> </w:t>
      </w:r>
      <w:proofErr w:type="spellStart"/>
      <w:r w:rsidRPr="007D6C2B">
        <w:t>Bezahlung</w:t>
      </w:r>
      <w:proofErr w:type="spellEnd"/>
      <w:r w:rsidRPr="007D6C2B">
        <w:t xml:space="preserve"> und </w:t>
      </w:r>
      <w:proofErr w:type="spellStart"/>
      <w:r w:rsidRPr="007D6C2B">
        <w:t>unternehmensinterne</w:t>
      </w:r>
      <w:proofErr w:type="spellEnd"/>
      <w:r w:rsidRPr="007D6C2B">
        <w:t xml:space="preserve"> </w:t>
      </w:r>
      <w:proofErr w:type="spellStart"/>
      <w:r w:rsidRPr="007D6C2B">
        <w:t>Gewerkschaften</w:t>
      </w:r>
      <w:proofErr w:type="spellEnd"/>
      <w:r w:rsidRPr="007D6C2B">
        <w:t xml:space="preserve">” </w:t>
      </w:r>
      <w:proofErr w:type="spellStart"/>
      <w:r w:rsidRPr="007D6C2B">
        <w:t>nur</w:t>
      </w:r>
      <w:proofErr w:type="spellEnd"/>
      <w:r w:rsidRPr="007D6C2B">
        <w:t xml:space="preserve"> </w:t>
      </w:r>
      <w:proofErr w:type="spellStart"/>
      <w:r w:rsidRPr="007D6C2B">
        <w:t>ein</w:t>
      </w:r>
      <w:proofErr w:type="spellEnd"/>
      <w:r w:rsidRPr="007D6C2B">
        <w:t xml:space="preserve"> </w:t>
      </w:r>
      <w:proofErr w:type="spellStart"/>
      <w:r w:rsidRPr="007D6C2B">
        <w:t>Verständnis</w:t>
      </w:r>
      <w:proofErr w:type="spellEnd"/>
      <w:r w:rsidRPr="007D6C2B">
        <w:t xml:space="preserve"> auf der Ebene der Systeme und </w:t>
      </w:r>
      <w:proofErr w:type="spellStart"/>
      <w:r w:rsidRPr="007D6C2B">
        <w:t>Praktiken</w:t>
      </w:r>
      <w:proofErr w:type="spellEnd"/>
      <w:r w:rsidRPr="007D6C2B">
        <w:t xml:space="preserve"> </w:t>
      </w:r>
      <w:proofErr w:type="spellStart"/>
      <w:r w:rsidRPr="007D6C2B">
        <w:t>darstellen</w:t>
      </w:r>
      <w:proofErr w:type="spellEnd"/>
      <w:r w:rsidRPr="007D6C2B">
        <w:t xml:space="preserve">. Eine </w:t>
      </w:r>
      <w:proofErr w:type="spellStart"/>
      <w:r w:rsidRPr="007D6C2B">
        <w:t>Untersuchung</w:t>
      </w:r>
      <w:proofErr w:type="spellEnd"/>
      <w:r w:rsidRPr="007D6C2B">
        <w:t xml:space="preserve"> des </w:t>
      </w:r>
      <w:proofErr w:type="spellStart"/>
      <w:r w:rsidRPr="007D6C2B">
        <w:t>japanischen</w:t>
      </w:r>
      <w:proofErr w:type="spellEnd"/>
      <w:r w:rsidRPr="007D6C2B">
        <w:t xml:space="preserve"> </w:t>
      </w:r>
      <w:proofErr w:type="spellStart"/>
      <w:r w:rsidRPr="007D6C2B">
        <w:t>Managementstils</w:t>
      </w:r>
      <w:proofErr w:type="spellEnd"/>
      <w:r w:rsidRPr="007D6C2B">
        <w:t xml:space="preserve"> auf der Ebene der </w:t>
      </w:r>
      <w:proofErr w:type="spellStart"/>
      <w:r w:rsidRPr="007D6C2B">
        <w:t>Grundsätze</w:t>
      </w:r>
      <w:proofErr w:type="spellEnd"/>
      <w:r w:rsidRPr="007D6C2B">
        <w:t xml:space="preserve"> </w:t>
      </w:r>
      <w:proofErr w:type="spellStart"/>
      <w:r w:rsidRPr="007D6C2B">
        <w:t>offenbart</w:t>
      </w:r>
      <w:proofErr w:type="spellEnd"/>
      <w:r w:rsidRPr="007D6C2B">
        <w:t xml:space="preserve">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Realität</w:t>
      </w:r>
      <w:proofErr w:type="spellEnd"/>
      <w:r w:rsidRPr="007D6C2B">
        <w:t xml:space="preserve">, die dem Bild der </w:t>
      </w:r>
      <w:proofErr w:type="spellStart"/>
      <w:r w:rsidRPr="007D6C2B">
        <w:t>lebenslangen</w:t>
      </w:r>
      <w:proofErr w:type="spellEnd"/>
      <w:r w:rsidRPr="007D6C2B">
        <w:t xml:space="preserve"> </w:t>
      </w:r>
      <w:proofErr w:type="spellStart"/>
      <w:r w:rsidRPr="007D6C2B">
        <w:t>Beschäftigung</w:t>
      </w:r>
      <w:proofErr w:type="spellEnd"/>
      <w:r w:rsidRPr="007D6C2B">
        <w:t xml:space="preserve"> und der </w:t>
      </w:r>
      <w:proofErr w:type="spellStart"/>
      <w:r w:rsidRPr="007D6C2B">
        <w:t>Senioritätssysteme</w:t>
      </w:r>
      <w:proofErr w:type="spellEnd"/>
      <w:r w:rsidRPr="007D6C2B">
        <w:t xml:space="preserve"> </w:t>
      </w:r>
      <w:proofErr w:type="spellStart"/>
      <w:r w:rsidRPr="007D6C2B">
        <w:t>widerspricht</w:t>
      </w:r>
      <w:proofErr w:type="spellEnd"/>
      <w:r w:rsidRPr="007D6C2B">
        <w:t xml:space="preserve">. </w:t>
      </w:r>
      <w:proofErr w:type="spellStart"/>
      <w:r w:rsidRPr="007D6C2B">
        <w:t>Ikenouchi</w:t>
      </w:r>
      <w:proofErr w:type="spellEnd"/>
      <w:r w:rsidRPr="007D6C2B">
        <w:t xml:space="preserve"> (2019) </w:t>
      </w:r>
      <w:proofErr w:type="spellStart"/>
      <w:r w:rsidRPr="007D6C2B">
        <w:t>stellte</w:t>
      </w:r>
      <w:proofErr w:type="spellEnd"/>
      <w:r w:rsidRPr="007D6C2B">
        <w:t xml:space="preserve"> fest: </w:t>
      </w:r>
    </w:p>
    <w:p w14:paraId="7693AEC4" w14:textId="77777777" w:rsidR="007D6C2B" w:rsidRPr="007D6C2B" w:rsidRDefault="007D6C2B" w:rsidP="007D6C2B">
      <w:r w:rsidRPr="007D6C2B">
        <w:t>・</w:t>
      </w:r>
      <w:r w:rsidRPr="007D6C2B">
        <w:t xml:space="preserve"> Die </w:t>
      </w:r>
      <w:proofErr w:type="spellStart"/>
      <w:r w:rsidRPr="007D6C2B">
        <w:t>Realität</w:t>
      </w:r>
      <w:proofErr w:type="spellEnd"/>
      <w:r w:rsidRPr="007D6C2B">
        <w:t xml:space="preserve"> der </w:t>
      </w:r>
      <w:proofErr w:type="spellStart"/>
      <w:r w:rsidRPr="007D6C2B">
        <w:t>japanischen</w:t>
      </w:r>
      <w:proofErr w:type="spellEnd"/>
      <w:r w:rsidRPr="007D6C2B">
        <w:t xml:space="preserve"> </w:t>
      </w:r>
      <w:proofErr w:type="spellStart"/>
      <w:r w:rsidRPr="007D6C2B">
        <w:t>Personalpolitik</w:t>
      </w:r>
      <w:proofErr w:type="spellEnd"/>
      <w:r w:rsidRPr="007D6C2B">
        <w:t xml:space="preserve"> </w:t>
      </w:r>
      <w:proofErr w:type="spellStart"/>
      <w:r w:rsidRPr="007D6C2B">
        <w:t>besteht</w:t>
      </w:r>
      <w:proofErr w:type="spellEnd"/>
      <w:r w:rsidRPr="007D6C2B">
        <w:t xml:space="preserve"> </w:t>
      </w:r>
      <w:proofErr w:type="spellStart"/>
      <w:r w:rsidRPr="007D6C2B">
        <w:t>darin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</w:t>
      </w:r>
      <w:proofErr w:type="spellStart"/>
      <w:r w:rsidRPr="007D6C2B">
        <w:t>meritokratische</w:t>
      </w:r>
      <w:proofErr w:type="spellEnd"/>
      <w:r w:rsidRPr="007D6C2B">
        <w:t xml:space="preserve"> </w:t>
      </w:r>
      <w:proofErr w:type="spellStart"/>
      <w:r w:rsidRPr="007D6C2B">
        <w:t>Personalpraktiken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japanischer</w:t>
      </w:r>
      <w:proofErr w:type="spellEnd"/>
      <w:r w:rsidRPr="007D6C2B">
        <w:t xml:space="preserve"> Art </w:t>
      </w:r>
      <w:proofErr w:type="spellStart"/>
      <w:r w:rsidRPr="007D6C2B">
        <w:t>umgesetzt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 xml:space="preserve">, </w:t>
      </w:r>
      <w:proofErr w:type="spellStart"/>
      <w:r w:rsidRPr="007D6C2B">
        <w:t>wobei</w:t>
      </w:r>
      <w:proofErr w:type="spellEnd"/>
      <w:r w:rsidRPr="007D6C2B">
        <w:t xml:space="preserve"> flexible </w:t>
      </w:r>
      <w:proofErr w:type="spellStart"/>
      <w:r w:rsidRPr="007D6C2B">
        <w:t>Beschäftigungsanpassungen</w:t>
      </w:r>
      <w:proofErr w:type="spellEnd"/>
      <w:r w:rsidRPr="007D6C2B">
        <w:t xml:space="preserve"> </w:t>
      </w:r>
      <w:proofErr w:type="spellStart"/>
      <w:r w:rsidRPr="007D6C2B">
        <w:t>entsprechend</w:t>
      </w:r>
      <w:proofErr w:type="spellEnd"/>
      <w:r w:rsidRPr="007D6C2B">
        <w:t xml:space="preserve"> den </w:t>
      </w:r>
      <w:proofErr w:type="spellStart"/>
      <w:r w:rsidRPr="007D6C2B">
        <w:t>Markttrends</w:t>
      </w:r>
      <w:proofErr w:type="spellEnd"/>
      <w:r w:rsidRPr="007D6C2B">
        <w:t xml:space="preserve"> und den </w:t>
      </w:r>
      <w:proofErr w:type="spellStart"/>
      <w:r w:rsidRPr="007D6C2B">
        <w:t>Unternehmensumständen</w:t>
      </w:r>
      <w:proofErr w:type="spellEnd"/>
      <w:r w:rsidRPr="007D6C2B">
        <w:t xml:space="preserve"> </w:t>
      </w:r>
      <w:proofErr w:type="spellStart"/>
      <w:r w:rsidRPr="007D6C2B">
        <w:t>vorgenommen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>.</w:t>
      </w:r>
    </w:p>
    <w:p w14:paraId="1AA4958F" w14:textId="77777777" w:rsidR="007D6C2B" w:rsidRPr="007D6C2B" w:rsidRDefault="007D6C2B" w:rsidP="007D6C2B">
      <w:r w:rsidRPr="007D6C2B">
        <w:t>・</w:t>
      </w:r>
      <w:r w:rsidRPr="007D6C2B">
        <w:t xml:space="preserve">Vor </w:t>
      </w:r>
      <w:proofErr w:type="spellStart"/>
      <w:r w:rsidRPr="007D6C2B">
        <w:t>allem</w:t>
      </w:r>
      <w:proofErr w:type="spellEnd"/>
      <w:r w:rsidRPr="007D6C2B">
        <w:t xml:space="preserve"> </w:t>
      </w:r>
      <w:proofErr w:type="spellStart"/>
      <w:r w:rsidRPr="007D6C2B">
        <w:t>liegt</w:t>
      </w:r>
      <w:proofErr w:type="spellEnd"/>
      <w:r w:rsidRPr="007D6C2B">
        <w:t xml:space="preserve"> die </w:t>
      </w:r>
      <w:proofErr w:type="spellStart"/>
      <w:r w:rsidRPr="007D6C2B">
        <w:t>entscheidende</w:t>
      </w:r>
      <w:proofErr w:type="spellEnd"/>
      <w:r w:rsidRPr="007D6C2B">
        <w:t xml:space="preserve"> </w:t>
      </w:r>
      <w:proofErr w:type="spellStart"/>
      <w:r w:rsidRPr="007D6C2B">
        <w:t>Bedeutung</w:t>
      </w:r>
      <w:proofErr w:type="spellEnd"/>
      <w:r w:rsidRPr="007D6C2B">
        <w:t xml:space="preserve"> des </w:t>
      </w:r>
      <w:proofErr w:type="spellStart"/>
      <w:r w:rsidRPr="007D6C2B">
        <w:t>japanischen</w:t>
      </w:r>
      <w:proofErr w:type="spellEnd"/>
      <w:r w:rsidRPr="007D6C2B">
        <w:t xml:space="preserve"> Managements in der </w:t>
      </w:r>
      <w:proofErr w:type="spellStart"/>
      <w:r w:rsidRPr="007D6C2B">
        <w:t>vielfältigen</w:t>
      </w:r>
      <w:proofErr w:type="spellEnd"/>
      <w:r w:rsidRPr="007D6C2B">
        <w:t xml:space="preserve"> und </w:t>
      </w:r>
      <w:proofErr w:type="spellStart"/>
      <w:r w:rsidRPr="007D6C2B">
        <w:t>weit</w:t>
      </w:r>
      <w:proofErr w:type="spellEnd"/>
      <w:r w:rsidRPr="007D6C2B">
        <w:t xml:space="preserve"> </w:t>
      </w:r>
      <w:proofErr w:type="spellStart"/>
      <w:r w:rsidRPr="007D6C2B">
        <w:t>verbreiteten</w:t>
      </w:r>
      <w:proofErr w:type="spellEnd"/>
      <w:r w:rsidRPr="007D6C2B">
        <w:t xml:space="preserve"> </w:t>
      </w:r>
      <w:proofErr w:type="spellStart"/>
      <w:r w:rsidRPr="007D6C2B">
        <w:t>Existenz</w:t>
      </w:r>
      <w:proofErr w:type="spellEnd"/>
      <w:r w:rsidRPr="007D6C2B">
        <w:t xml:space="preserve"> von </w:t>
      </w:r>
      <w:proofErr w:type="spellStart"/>
      <w:r w:rsidRPr="007D6C2B">
        <w:t>Beschäftigungsformen</w:t>
      </w:r>
      <w:proofErr w:type="spellEnd"/>
      <w:r w:rsidRPr="007D6C2B">
        <w:t xml:space="preserve">, </w:t>
      </w:r>
      <w:proofErr w:type="spellStart"/>
      <w:r w:rsidRPr="007D6C2B">
        <w:t>bei</w:t>
      </w:r>
      <w:proofErr w:type="spellEnd"/>
      <w:r w:rsidRPr="007D6C2B">
        <w:t xml:space="preserve"> </w:t>
      </w:r>
      <w:proofErr w:type="spellStart"/>
      <w:r w:rsidRPr="007D6C2B">
        <w:t>denen</w:t>
      </w:r>
      <w:proofErr w:type="spellEnd"/>
      <w:r w:rsidRPr="007D6C2B">
        <w:t xml:space="preserve"> </w:t>
      </w:r>
      <w:proofErr w:type="spellStart"/>
      <w:r w:rsidRPr="007D6C2B">
        <w:t>lebenslange</w:t>
      </w:r>
      <w:proofErr w:type="spellEnd"/>
      <w:r w:rsidRPr="007D6C2B">
        <w:t xml:space="preserve"> </w:t>
      </w:r>
      <w:proofErr w:type="spellStart"/>
      <w:r w:rsidRPr="007D6C2B">
        <w:t>Beschäftigung</w:t>
      </w:r>
      <w:proofErr w:type="spellEnd"/>
      <w:r w:rsidRPr="007D6C2B">
        <w:t xml:space="preserve"> und </w:t>
      </w:r>
      <w:proofErr w:type="spellStart"/>
      <w:r w:rsidRPr="007D6C2B">
        <w:t>Senioritätssysteme</w:t>
      </w:r>
      <w:proofErr w:type="spellEnd"/>
      <w:r w:rsidRPr="007D6C2B">
        <w:t xml:space="preserve"> </w:t>
      </w:r>
      <w:proofErr w:type="spellStart"/>
      <w:r w:rsidRPr="007D6C2B">
        <w:t>keine</w:t>
      </w:r>
      <w:proofErr w:type="spellEnd"/>
      <w:r w:rsidRPr="007D6C2B">
        <w:t xml:space="preserve"> </w:t>
      </w:r>
      <w:proofErr w:type="spellStart"/>
      <w:r w:rsidRPr="007D6C2B">
        <w:t>Anwendung</w:t>
      </w:r>
      <w:proofErr w:type="spellEnd"/>
      <w:r w:rsidRPr="007D6C2B">
        <w:t xml:space="preserve"> </w:t>
      </w:r>
      <w:proofErr w:type="spellStart"/>
      <w:r w:rsidRPr="007D6C2B">
        <w:t>finden</w:t>
      </w:r>
      <w:proofErr w:type="spellEnd"/>
      <w:r w:rsidRPr="007D6C2B">
        <w:t>.</w:t>
      </w:r>
    </w:p>
    <w:p w14:paraId="370A4845" w14:textId="77777777" w:rsidR="007D6C2B" w:rsidRPr="007D6C2B" w:rsidRDefault="007D6C2B" w:rsidP="007D6C2B">
      <w:r w:rsidRPr="007D6C2B">
        <w:t>・</w:t>
      </w:r>
      <w:r w:rsidRPr="007D6C2B">
        <w:t xml:space="preserve">Die </w:t>
      </w:r>
      <w:proofErr w:type="spellStart"/>
      <w:r w:rsidRPr="007D6C2B">
        <w:t>Beziehung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und </w:t>
      </w:r>
      <w:proofErr w:type="spellStart"/>
      <w:r w:rsidRPr="007D6C2B">
        <w:t>Arbeitnehmern</w:t>
      </w:r>
      <w:proofErr w:type="spellEnd"/>
      <w:r w:rsidRPr="007D6C2B">
        <w:t xml:space="preserve"> </w:t>
      </w:r>
      <w:proofErr w:type="spellStart"/>
      <w:r w:rsidRPr="007D6C2B">
        <w:t>im</w:t>
      </w:r>
      <w:proofErr w:type="spellEnd"/>
      <w:r w:rsidRPr="007D6C2B">
        <w:t xml:space="preserve"> </w:t>
      </w:r>
      <w:proofErr w:type="spellStart"/>
      <w:r w:rsidRPr="007D6C2B">
        <w:t>japanischen</w:t>
      </w:r>
      <w:proofErr w:type="spellEnd"/>
      <w:r w:rsidRPr="007D6C2B">
        <w:t xml:space="preserve"> Management </w:t>
      </w:r>
      <w:proofErr w:type="spellStart"/>
      <w:r w:rsidRPr="007D6C2B">
        <w:t>basiert</w:t>
      </w:r>
      <w:proofErr w:type="spellEnd"/>
      <w:r w:rsidRPr="007D6C2B">
        <w:t xml:space="preserve"> auf der </w:t>
      </w:r>
      <w:proofErr w:type="spellStart"/>
      <w:r w:rsidRPr="007D6C2B">
        <w:t>Mitgliedschaft</w:t>
      </w:r>
      <w:proofErr w:type="spellEnd"/>
      <w:r w:rsidRPr="007D6C2B">
        <w:t xml:space="preserve"> und nicht auf der </w:t>
      </w:r>
      <w:proofErr w:type="spellStart"/>
      <w:r w:rsidRPr="007D6C2B">
        <w:t>Tätigkeit</w:t>
      </w:r>
      <w:proofErr w:type="spellEnd"/>
      <w:r w:rsidRPr="007D6C2B">
        <w:t>.</w:t>
      </w:r>
    </w:p>
    <w:p w14:paraId="2083572F" w14:textId="77777777" w:rsidR="007D6C2B" w:rsidRPr="007D6C2B" w:rsidRDefault="007D6C2B" w:rsidP="007D6C2B">
      <w:r w:rsidRPr="007D6C2B">
        <w:t>・</w:t>
      </w:r>
      <w:r w:rsidRPr="007D6C2B">
        <w:t xml:space="preserve">Das </w:t>
      </w:r>
      <w:proofErr w:type="spellStart"/>
      <w:r w:rsidRPr="007D6C2B">
        <w:t>Prinzip</w:t>
      </w:r>
      <w:proofErr w:type="spellEnd"/>
      <w:r w:rsidRPr="007D6C2B">
        <w:t xml:space="preserve"> des </w:t>
      </w:r>
      <w:proofErr w:type="spellStart"/>
      <w:r w:rsidRPr="007D6C2B">
        <w:t>japanischen</w:t>
      </w:r>
      <w:proofErr w:type="spellEnd"/>
      <w:r w:rsidRPr="007D6C2B">
        <w:t xml:space="preserve"> Managements </w:t>
      </w:r>
      <w:proofErr w:type="spellStart"/>
      <w:r w:rsidRPr="007D6C2B">
        <w:t>ist</w:t>
      </w:r>
      <w:proofErr w:type="spellEnd"/>
      <w:r w:rsidRPr="007D6C2B">
        <w:t xml:space="preserve"> die </w:t>
      </w:r>
      <w:proofErr w:type="spellStart"/>
      <w:r w:rsidRPr="007D6C2B">
        <w:t>Erhaltung</w:t>
      </w:r>
      <w:proofErr w:type="spellEnd"/>
      <w:r w:rsidRPr="007D6C2B">
        <w:t xml:space="preserve"> und der </w:t>
      </w:r>
      <w:proofErr w:type="spellStart"/>
      <w:r w:rsidRPr="007D6C2B">
        <w:t>Wohlstand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selbst</w:t>
      </w:r>
      <w:proofErr w:type="spellEnd"/>
      <w:r w:rsidRPr="007D6C2B">
        <w:t>.</w:t>
      </w:r>
    </w:p>
    <w:p w14:paraId="69B470ED" w14:textId="77777777" w:rsidR="007D6C2B" w:rsidRPr="007D6C2B" w:rsidRDefault="007D6C2B" w:rsidP="007D6C2B">
      <w:r w:rsidRPr="007D6C2B">
        <w:t xml:space="preserve">　</w:t>
      </w:r>
      <w:proofErr w:type="spellStart"/>
      <w:r w:rsidRPr="007D6C2B">
        <w:t>Natürlich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das </w:t>
      </w:r>
      <w:proofErr w:type="spellStart"/>
      <w:r w:rsidRPr="007D6C2B">
        <w:t>Prinzip</w:t>
      </w:r>
      <w:proofErr w:type="spellEnd"/>
      <w:r w:rsidRPr="007D6C2B">
        <w:t xml:space="preserve"> der </w:t>
      </w:r>
      <w:proofErr w:type="spellStart"/>
      <w:r w:rsidRPr="007D6C2B">
        <w:t>Erhaltung</w:t>
      </w:r>
      <w:proofErr w:type="spellEnd"/>
      <w:r w:rsidRPr="007D6C2B">
        <w:t xml:space="preserve"> und des </w:t>
      </w:r>
      <w:proofErr w:type="spellStart"/>
      <w:r w:rsidRPr="007D6C2B">
        <w:t>Wohlstands</w:t>
      </w:r>
      <w:proofErr w:type="spellEnd"/>
      <w:r w:rsidRPr="007D6C2B">
        <w:t xml:space="preserve"> </w:t>
      </w:r>
      <w:proofErr w:type="spellStart"/>
      <w:r w:rsidRPr="007D6C2B">
        <w:t>einer</w:t>
      </w:r>
      <w:proofErr w:type="spellEnd"/>
      <w:r w:rsidRPr="007D6C2B">
        <w:t xml:space="preserve"> </w:t>
      </w:r>
      <w:proofErr w:type="spellStart"/>
      <w:r w:rsidRPr="007D6C2B">
        <w:t>Organisation</w:t>
      </w:r>
      <w:proofErr w:type="spellEnd"/>
      <w:r w:rsidRPr="007D6C2B">
        <w:t xml:space="preserve"> nicht </w:t>
      </w:r>
      <w:proofErr w:type="spellStart"/>
      <w:r w:rsidRPr="007D6C2B">
        <w:t>nur</w:t>
      </w:r>
      <w:proofErr w:type="spellEnd"/>
      <w:r w:rsidRPr="007D6C2B">
        <w:t xml:space="preserve"> in Japan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finden</w:t>
      </w:r>
      <w:proofErr w:type="spellEnd"/>
      <w:r w:rsidRPr="007D6C2B">
        <w:t xml:space="preserve">. </w:t>
      </w:r>
      <w:proofErr w:type="spellStart"/>
      <w:r w:rsidRPr="007D6C2B">
        <w:t>Im</w:t>
      </w:r>
      <w:proofErr w:type="spellEnd"/>
      <w:r w:rsidRPr="007D6C2B">
        <w:t xml:space="preserve"> Falle </w:t>
      </w:r>
      <w:proofErr w:type="spellStart"/>
      <w:r w:rsidRPr="007D6C2B">
        <w:t>Japans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 es </w:t>
      </w:r>
      <w:proofErr w:type="spellStart"/>
      <w:r w:rsidRPr="007D6C2B">
        <w:t>jedoch</w:t>
      </w:r>
      <w:proofErr w:type="spellEnd"/>
      <w:r w:rsidRPr="007D6C2B">
        <w:t xml:space="preserve"> von </w:t>
      </w:r>
      <w:proofErr w:type="spellStart"/>
      <w:r w:rsidRPr="007D6C2B">
        <w:t>Bedeutung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der „</w:t>
      </w:r>
      <w:proofErr w:type="spellStart"/>
      <w:r w:rsidRPr="007D6C2B">
        <w:t>Haushalt</w:t>
      </w:r>
      <w:proofErr w:type="spellEnd"/>
      <w:r w:rsidRPr="007D6C2B">
        <w:t>” (</w:t>
      </w:r>
      <w:proofErr w:type="spellStart"/>
      <w:r w:rsidRPr="007D6C2B">
        <w:t>Haushalt</w:t>
      </w:r>
      <w:proofErr w:type="spellEnd"/>
      <w:r w:rsidRPr="007D6C2B">
        <w:t xml:space="preserve">) und das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Einheiten</w:t>
      </w:r>
      <w:proofErr w:type="spellEnd"/>
      <w:r w:rsidRPr="007D6C2B">
        <w:t xml:space="preserve">, </w:t>
      </w:r>
      <w:proofErr w:type="spellStart"/>
      <w:r w:rsidRPr="007D6C2B">
        <w:t>deren</w:t>
      </w:r>
      <w:proofErr w:type="spellEnd"/>
      <w:r w:rsidRPr="007D6C2B">
        <w:t xml:space="preserve"> </w:t>
      </w:r>
      <w:proofErr w:type="spellStart"/>
      <w:r w:rsidRPr="007D6C2B">
        <w:t>Hauptprinzip</w:t>
      </w:r>
      <w:proofErr w:type="spellEnd"/>
      <w:r w:rsidRPr="007D6C2B">
        <w:t xml:space="preserve"> die </w:t>
      </w:r>
      <w:proofErr w:type="spellStart"/>
      <w:r w:rsidRPr="007D6C2B">
        <w:t>Erhaltung</w:t>
      </w:r>
      <w:proofErr w:type="spellEnd"/>
      <w:r w:rsidRPr="007D6C2B">
        <w:t xml:space="preserve"> und der </w:t>
      </w:r>
      <w:proofErr w:type="spellStart"/>
      <w:r w:rsidRPr="007D6C2B">
        <w:t>Wohlstand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,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Affinität</w:t>
      </w:r>
      <w:proofErr w:type="spellEnd"/>
      <w:r w:rsidRPr="007D6C2B">
        <w:t xml:space="preserve"> </w:t>
      </w:r>
      <w:proofErr w:type="spellStart"/>
      <w:r w:rsidRPr="007D6C2B">
        <w:t>zueinander</w:t>
      </w:r>
      <w:proofErr w:type="spellEnd"/>
      <w:r w:rsidRPr="007D6C2B">
        <w:t xml:space="preserve"> </w:t>
      </w:r>
      <w:proofErr w:type="spellStart"/>
      <w:r w:rsidRPr="007D6C2B">
        <w:t>haben</w:t>
      </w:r>
      <w:proofErr w:type="spellEnd"/>
      <w:r w:rsidRPr="007D6C2B">
        <w:t xml:space="preserve">. Ikeuchi (2019) </w:t>
      </w:r>
      <w:proofErr w:type="spellStart"/>
      <w:r w:rsidRPr="007D6C2B">
        <w:t>stellt</w:t>
      </w:r>
      <w:proofErr w:type="spellEnd"/>
      <w:r w:rsidRPr="007D6C2B">
        <w:t xml:space="preserve"> fest, </w:t>
      </w:r>
      <w:proofErr w:type="spellStart"/>
      <w:r w:rsidRPr="007D6C2B">
        <w:t>dass</w:t>
      </w:r>
      <w:proofErr w:type="spellEnd"/>
      <w:r w:rsidRPr="007D6C2B">
        <w:t xml:space="preserve"> die </w:t>
      </w:r>
      <w:proofErr w:type="spellStart"/>
      <w:r w:rsidRPr="007D6C2B">
        <w:t>Eltern</w:t>
      </w:r>
      <w:proofErr w:type="spellEnd"/>
      <w:r w:rsidRPr="007D6C2B">
        <w:t>-Kind-</w:t>
      </w:r>
      <w:proofErr w:type="spellStart"/>
      <w:r w:rsidRPr="007D6C2B">
        <w:t>Beziehung</w:t>
      </w:r>
      <w:proofErr w:type="spellEnd"/>
      <w:r w:rsidRPr="007D6C2B">
        <w:t xml:space="preserve">, die </w:t>
      </w:r>
      <w:proofErr w:type="spellStart"/>
      <w:r w:rsidRPr="007D6C2B">
        <w:t>durch</w:t>
      </w:r>
      <w:proofErr w:type="spellEnd"/>
      <w:r w:rsidRPr="007D6C2B">
        <w:t xml:space="preserve"> </w:t>
      </w:r>
      <w:proofErr w:type="spellStart"/>
      <w:r w:rsidRPr="007D6C2B">
        <w:t>absoluten</w:t>
      </w:r>
      <w:proofErr w:type="spellEnd"/>
      <w:r w:rsidRPr="007D6C2B">
        <w:t xml:space="preserve"> </w:t>
      </w:r>
      <w:proofErr w:type="spellStart"/>
      <w:r w:rsidRPr="007D6C2B">
        <w:t>Gehorsam</w:t>
      </w:r>
      <w:proofErr w:type="spellEnd"/>
      <w:r w:rsidRPr="007D6C2B">
        <w:t xml:space="preserve"> und Schutz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Belohnung</w:t>
      </w:r>
      <w:proofErr w:type="spellEnd"/>
      <w:r w:rsidRPr="007D6C2B">
        <w:t xml:space="preserve"> </w:t>
      </w:r>
      <w:proofErr w:type="spellStart"/>
      <w:r w:rsidRPr="007D6C2B">
        <w:t>gekennzeichnet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, in Japan </w:t>
      </w:r>
      <w:proofErr w:type="spellStart"/>
      <w:r w:rsidRPr="007D6C2B">
        <w:t>auch</w:t>
      </w:r>
      <w:proofErr w:type="spellEnd"/>
      <w:r w:rsidRPr="007D6C2B">
        <w:t xml:space="preserve"> in den </w:t>
      </w:r>
      <w:proofErr w:type="spellStart"/>
      <w:r w:rsidRPr="007D6C2B">
        <w:t>Beziehungen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und </w:t>
      </w:r>
      <w:proofErr w:type="spellStart"/>
      <w:r w:rsidRPr="007D6C2B">
        <w:t>Mitarbeitern</w:t>
      </w:r>
      <w:proofErr w:type="spellEnd"/>
      <w:r w:rsidRPr="007D6C2B">
        <w:t xml:space="preserve">, </w:t>
      </w:r>
      <w:proofErr w:type="spellStart"/>
      <w:r w:rsidRPr="007D6C2B">
        <w:t>Vorgesetzten</w:t>
      </w:r>
      <w:proofErr w:type="spellEnd"/>
      <w:r w:rsidRPr="007D6C2B">
        <w:t xml:space="preserve"> und </w:t>
      </w:r>
      <w:proofErr w:type="spellStart"/>
      <w:r w:rsidRPr="007D6C2B">
        <w:t>Untergebenen</w:t>
      </w:r>
      <w:proofErr w:type="spellEnd"/>
      <w:r w:rsidRPr="007D6C2B">
        <w:t xml:space="preserve">, Mutter- und </w:t>
      </w:r>
      <w:proofErr w:type="spellStart"/>
      <w:r w:rsidRPr="007D6C2B">
        <w:t>Tochtergesellschaften</w:t>
      </w:r>
      <w:proofErr w:type="spellEnd"/>
      <w:r w:rsidRPr="007D6C2B">
        <w:t xml:space="preserve"> </w:t>
      </w:r>
      <w:proofErr w:type="spellStart"/>
      <w:r w:rsidRPr="007D6C2B">
        <w:t>sowie</w:t>
      </w:r>
      <w:proofErr w:type="spellEnd"/>
      <w:r w:rsidRPr="007D6C2B">
        <w:t xml:space="preserve"> </w:t>
      </w:r>
      <w:proofErr w:type="spellStart"/>
      <w:r w:rsidRPr="007D6C2B">
        <w:t>Regierung</w:t>
      </w:r>
      <w:proofErr w:type="spellEnd"/>
      <w:r w:rsidRPr="007D6C2B">
        <w:t xml:space="preserve"> und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finden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>.</w:t>
      </w:r>
    </w:p>
    <w:p w14:paraId="4A5D1F8B" w14:textId="77777777" w:rsidR="007D6C2B" w:rsidRPr="007D6C2B" w:rsidRDefault="007D6C2B" w:rsidP="007D6C2B">
      <w:r w:rsidRPr="007D6C2B">
        <w:t xml:space="preserve">　</w:t>
      </w:r>
      <w:r w:rsidRPr="007D6C2B">
        <w:t xml:space="preserve">Es </w:t>
      </w:r>
      <w:proofErr w:type="spellStart"/>
      <w:r w:rsidRPr="007D6C2B">
        <w:t>gibt</w:t>
      </w:r>
      <w:proofErr w:type="spellEnd"/>
      <w:r w:rsidRPr="007D6C2B">
        <w:t xml:space="preserve"> den </w:t>
      </w:r>
      <w:proofErr w:type="spellStart"/>
      <w:r w:rsidRPr="007D6C2B">
        <w:t>berühmten</w:t>
      </w:r>
      <w:proofErr w:type="spellEnd"/>
      <w:r w:rsidRPr="007D6C2B">
        <w:t xml:space="preserve"> Oki</w:t>
      </w:r>
      <w:r w:rsidR="00613808">
        <w:rPr>
          <w:rFonts w:hint="eastAsia"/>
        </w:rPr>
        <w:t xml:space="preserve"> Electric </w:t>
      </w:r>
      <w:proofErr w:type="spellStart"/>
      <w:r w:rsidRPr="007D6C2B">
        <w:t>Vorfall</w:t>
      </w:r>
      <w:proofErr w:type="spellEnd"/>
      <w:r w:rsidRPr="007D6C2B">
        <w:t xml:space="preserve">, </w:t>
      </w:r>
      <w:proofErr w:type="spellStart"/>
      <w:r w:rsidRPr="007D6C2B">
        <w:t>einen</w:t>
      </w:r>
      <w:proofErr w:type="spellEnd"/>
      <w:r w:rsidRPr="007D6C2B">
        <w:t xml:space="preserve"> Streit um </w:t>
      </w:r>
      <w:proofErr w:type="spellStart"/>
      <w:r w:rsidRPr="007D6C2B">
        <w:t>Massenentlassungen</w:t>
      </w:r>
      <w:proofErr w:type="spellEnd"/>
      <w:r w:rsidRPr="007D6C2B">
        <w:t xml:space="preserve">. Dabei </w:t>
      </w:r>
      <w:proofErr w:type="spellStart"/>
      <w:r w:rsidRPr="007D6C2B">
        <w:t>handelt</w:t>
      </w:r>
      <w:proofErr w:type="spellEnd"/>
      <w:r w:rsidRPr="007D6C2B">
        <w:t xml:space="preserve"> es </w:t>
      </w:r>
      <w:proofErr w:type="spellStart"/>
      <w:r w:rsidRPr="007D6C2B">
        <w:t>sich</w:t>
      </w:r>
      <w:proofErr w:type="spellEnd"/>
      <w:r w:rsidRPr="007D6C2B">
        <w:t xml:space="preserve"> nicht um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Präzedenzfall</w:t>
      </w:r>
      <w:proofErr w:type="spellEnd"/>
      <w:r w:rsidRPr="007D6C2B">
        <w:t xml:space="preserve"> </w:t>
      </w:r>
      <w:proofErr w:type="spellStart"/>
      <w:r w:rsidRPr="007D6C2B">
        <w:t>wie</w:t>
      </w:r>
      <w:proofErr w:type="spellEnd"/>
      <w:r w:rsidRPr="007D6C2B">
        <w:t xml:space="preserve"> die </w:t>
      </w:r>
      <w:proofErr w:type="spellStart"/>
      <w:r w:rsidRPr="007D6C2B">
        <w:t>drei</w:t>
      </w:r>
      <w:proofErr w:type="spellEnd"/>
      <w:r w:rsidRPr="007D6C2B">
        <w:t xml:space="preserve"> </w:t>
      </w:r>
      <w:proofErr w:type="spellStart"/>
      <w:r w:rsidRPr="007D6C2B">
        <w:t>Beispiele</w:t>
      </w:r>
      <w:proofErr w:type="spellEnd"/>
      <w:r w:rsidRPr="007D6C2B">
        <w:t xml:space="preserve"> in </w:t>
      </w:r>
      <w:proofErr w:type="spellStart"/>
      <w:r w:rsidRPr="007D6C2B">
        <w:t>Tabelle</w:t>
      </w:r>
      <w:proofErr w:type="spellEnd"/>
      <w:r w:rsidRPr="007D6C2B">
        <w:t xml:space="preserve"> 1. Der Streit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grundsätzlich</w:t>
      </w:r>
      <w:proofErr w:type="spellEnd"/>
      <w:r w:rsidRPr="007D6C2B">
        <w:t xml:space="preserve"> </w:t>
      </w:r>
      <w:proofErr w:type="spellStart"/>
      <w:r w:rsidRPr="007D6C2B">
        <w:t>mit</w:t>
      </w:r>
      <w:proofErr w:type="spellEnd"/>
      <w:r w:rsidRPr="007D6C2B">
        <w:t xml:space="preserve"> </w:t>
      </w:r>
      <w:proofErr w:type="spellStart"/>
      <w:r w:rsidRPr="007D6C2B">
        <w:t>einem</w:t>
      </w:r>
      <w:proofErr w:type="spellEnd"/>
      <w:r w:rsidRPr="007D6C2B">
        <w:t xml:space="preserve"> </w:t>
      </w:r>
      <w:proofErr w:type="spellStart"/>
      <w:r w:rsidRPr="007D6C2B">
        <w:t>Vergleich</w:t>
      </w:r>
      <w:proofErr w:type="spellEnd"/>
      <w:r w:rsidRPr="007D6C2B">
        <w:t xml:space="preserve"> auf </w:t>
      </w:r>
      <w:proofErr w:type="spellStart"/>
      <w:r w:rsidRPr="007D6C2B">
        <w:t>Bezirksgerichtsebene</w:t>
      </w:r>
      <w:proofErr w:type="spellEnd"/>
      <w:r w:rsidRPr="007D6C2B">
        <w:t xml:space="preserve"> </w:t>
      </w:r>
      <w:proofErr w:type="spellStart"/>
      <w:r w:rsidRPr="007D6C2B">
        <w:t>beigelegt</w:t>
      </w:r>
      <w:proofErr w:type="spellEnd"/>
      <w:r w:rsidRPr="007D6C2B">
        <w:t xml:space="preserve"> und </w:t>
      </w:r>
      <w:proofErr w:type="spellStart"/>
      <w:r w:rsidRPr="007D6C2B">
        <w:t>führte</w:t>
      </w:r>
      <w:proofErr w:type="spellEnd"/>
      <w:r w:rsidRPr="007D6C2B">
        <w:t xml:space="preserve"> nicht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einem</w:t>
      </w:r>
      <w:proofErr w:type="spellEnd"/>
      <w:r w:rsidRPr="007D6C2B">
        <w:t xml:space="preserve"> </w:t>
      </w:r>
      <w:proofErr w:type="spellStart"/>
      <w:r w:rsidRPr="007D6C2B">
        <w:t>Gerichtsurteil</w:t>
      </w:r>
      <w:proofErr w:type="spellEnd"/>
      <w:r w:rsidRPr="007D6C2B">
        <w:t xml:space="preserve">. Der </w:t>
      </w:r>
      <w:proofErr w:type="spellStart"/>
      <w:r w:rsidRPr="007D6C2B">
        <w:t>bekannteste</w:t>
      </w:r>
      <w:proofErr w:type="spellEnd"/>
      <w:r w:rsidRPr="007D6C2B">
        <w:t xml:space="preserve"> </w:t>
      </w:r>
      <w:proofErr w:type="spellStart"/>
      <w:r w:rsidRPr="007D6C2B">
        <w:t>Arbeitskonflikt</w:t>
      </w:r>
      <w:proofErr w:type="spellEnd"/>
      <w:r w:rsidRPr="007D6C2B">
        <w:t xml:space="preserve"> in Japan </w:t>
      </w:r>
      <w:proofErr w:type="spellStart"/>
      <w:r w:rsidRPr="007D6C2B">
        <w:t>ist</w:t>
      </w:r>
      <w:proofErr w:type="spellEnd"/>
      <w:r w:rsidRPr="007D6C2B">
        <w:t xml:space="preserve"> </w:t>
      </w:r>
      <w:proofErr w:type="spellStart"/>
      <w:r w:rsidRPr="007D6C2B">
        <w:t>wahrscheinlich</w:t>
      </w:r>
      <w:proofErr w:type="spellEnd"/>
      <w:r w:rsidRPr="007D6C2B">
        <w:t xml:space="preserve"> der Mitsui-Miike-</w:t>
      </w:r>
      <w:proofErr w:type="spellStart"/>
      <w:r w:rsidRPr="007D6C2B">
        <w:t>Konflikt</w:t>
      </w:r>
      <w:proofErr w:type="spellEnd"/>
      <w:r w:rsidRPr="007D6C2B">
        <w:t xml:space="preserve"> von 1959 bis 1960. Der Fall Oki Electric </w:t>
      </w:r>
      <w:proofErr w:type="spellStart"/>
      <w:r w:rsidRPr="007D6C2B">
        <w:t>erregte</w:t>
      </w:r>
      <w:proofErr w:type="spellEnd"/>
      <w:r w:rsidRPr="007D6C2B">
        <w:t xml:space="preserve"> </w:t>
      </w:r>
      <w:proofErr w:type="spellStart"/>
      <w:r w:rsidRPr="007D6C2B">
        <w:t>großes</w:t>
      </w:r>
      <w:proofErr w:type="spellEnd"/>
      <w:r w:rsidRPr="007D6C2B">
        <w:t xml:space="preserve"> </w:t>
      </w:r>
      <w:proofErr w:type="spellStart"/>
      <w:r w:rsidRPr="007D6C2B">
        <w:t>öffentliches</w:t>
      </w:r>
      <w:proofErr w:type="spellEnd"/>
      <w:r w:rsidRPr="007D6C2B">
        <w:t xml:space="preserve"> </w:t>
      </w:r>
      <w:proofErr w:type="spellStart"/>
      <w:r w:rsidRPr="007D6C2B">
        <w:t>Aufsehen</w:t>
      </w:r>
      <w:proofErr w:type="spellEnd"/>
      <w:r w:rsidRPr="007D6C2B">
        <w:t xml:space="preserve">, da es </w:t>
      </w:r>
      <w:proofErr w:type="spellStart"/>
      <w:r w:rsidRPr="007D6C2B">
        <w:t>sich</w:t>
      </w:r>
      <w:proofErr w:type="spellEnd"/>
      <w:r w:rsidRPr="007D6C2B">
        <w:t xml:space="preserve"> um den </w:t>
      </w:r>
      <w:proofErr w:type="spellStart"/>
      <w:r w:rsidRPr="007D6C2B">
        <w:t>ersten</w:t>
      </w:r>
      <w:proofErr w:type="spellEnd"/>
      <w:r w:rsidRPr="007D6C2B">
        <w:t xml:space="preserve"> </w:t>
      </w:r>
      <w:proofErr w:type="spellStart"/>
      <w:r w:rsidRPr="007D6C2B">
        <w:t>groß</w:t>
      </w:r>
      <w:proofErr w:type="spellEnd"/>
      <w:r w:rsidRPr="007D6C2B">
        <w:t xml:space="preserve"> </w:t>
      </w:r>
      <w:proofErr w:type="spellStart"/>
      <w:r w:rsidRPr="007D6C2B">
        <w:t>angelegten</w:t>
      </w:r>
      <w:proofErr w:type="spellEnd"/>
      <w:r w:rsidRPr="007D6C2B">
        <w:t xml:space="preserve"> Fall </w:t>
      </w:r>
      <w:proofErr w:type="spellStart"/>
      <w:r w:rsidRPr="007D6C2B">
        <w:t>gezielter</w:t>
      </w:r>
      <w:proofErr w:type="spellEnd"/>
      <w:r w:rsidRPr="007D6C2B">
        <w:t xml:space="preserve"> </w:t>
      </w:r>
      <w:proofErr w:type="spellStart"/>
      <w:r w:rsidRPr="007D6C2B">
        <w:t>Entlassungen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 </w:t>
      </w:r>
      <w:proofErr w:type="spellStart"/>
      <w:r w:rsidRPr="007D6C2B">
        <w:t>einem</w:t>
      </w:r>
      <w:proofErr w:type="spellEnd"/>
      <w:r w:rsidRPr="007D6C2B">
        <w:t xml:space="preserve"> </w:t>
      </w:r>
      <w:proofErr w:type="spellStart"/>
      <w:r w:rsidRPr="007D6C2B">
        <w:t>großen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seit</w:t>
      </w:r>
      <w:proofErr w:type="spellEnd"/>
      <w:r w:rsidRPr="007D6C2B">
        <w:t xml:space="preserve"> 18 Jahren </w:t>
      </w:r>
      <w:proofErr w:type="spellStart"/>
      <w:r w:rsidRPr="007D6C2B">
        <w:t>seit</w:t>
      </w:r>
      <w:proofErr w:type="spellEnd"/>
      <w:r w:rsidRPr="007D6C2B">
        <w:t xml:space="preserve"> dem Mitsui-Miike-Streit </w:t>
      </w:r>
      <w:proofErr w:type="spellStart"/>
      <w:r w:rsidRPr="007D6C2B">
        <w:t>handelte</w:t>
      </w:r>
      <w:proofErr w:type="spellEnd"/>
      <w:r w:rsidRPr="007D6C2B">
        <w:t xml:space="preserve">. Ich </w:t>
      </w:r>
      <w:proofErr w:type="spellStart"/>
      <w:r w:rsidRPr="007D6C2B">
        <w:t>habe</w:t>
      </w:r>
      <w:proofErr w:type="spellEnd"/>
      <w:r w:rsidRPr="007D6C2B">
        <w:t xml:space="preserve"> </w:t>
      </w:r>
      <w:proofErr w:type="spellStart"/>
      <w:r w:rsidRPr="007D6C2B">
        <w:t>einmal</w:t>
      </w:r>
      <w:proofErr w:type="spellEnd"/>
      <w:r w:rsidRPr="007D6C2B">
        <w:t xml:space="preserve">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Interviewumfrage</w:t>
      </w:r>
      <w:proofErr w:type="spellEnd"/>
      <w:r w:rsidRPr="007D6C2B">
        <w:t xml:space="preserve"> </w:t>
      </w:r>
      <w:proofErr w:type="spellStart"/>
      <w:r w:rsidRPr="007D6C2B">
        <w:t>mit</w:t>
      </w:r>
      <w:proofErr w:type="spellEnd"/>
      <w:r w:rsidRPr="007D6C2B">
        <w:t xml:space="preserve"> dem </w:t>
      </w:r>
      <w:proofErr w:type="spellStart"/>
      <w:r w:rsidRPr="007D6C2B">
        <w:t>männlichen</w:t>
      </w:r>
      <w:proofErr w:type="spellEnd"/>
      <w:r w:rsidRPr="007D6C2B">
        <w:t xml:space="preserve"> </w:t>
      </w:r>
      <w:proofErr w:type="spellStart"/>
      <w:r w:rsidRPr="007D6C2B">
        <w:t>Anführer</w:t>
      </w:r>
      <w:proofErr w:type="spellEnd"/>
      <w:r w:rsidRPr="007D6C2B">
        <w:t xml:space="preserve"> der </w:t>
      </w:r>
      <w:proofErr w:type="spellStart"/>
      <w:r w:rsidRPr="007D6C2B">
        <w:t>Klägergruppe</w:t>
      </w:r>
      <w:proofErr w:type="spellEnd"/>
      <w:r w:rsidRPr="007D6C2B">
        <w:t xml:space="preserve"> </w:t>
      </w:r>
      <w:proofErr w:type="spellStart"/>
      <w:r w:rsidRPr="007D6C2B">
        <w:t>durchgeführt</w:t>
      </w:r>
      <w:proofErr w:type="spellEnd"/>
      <w:r w:rsidRPr="007D6C2B">
        <w:t xml:space="preserve">, die </w:t>
      </w:r>
      <w:proofErr w:type="spellStart"/>
      <w:r w:rsidRPr="007D6C2B">
        <w:t>aus</w:t>
      </w:r>
      <w:proofErr w:type="spellEnd"/>
      <w:r w:rsidRPr="007D6C2B">
        <w:t xml:space="preserve"> 71 </w:t>
      </w:r>
      <w:proofErr w:type="spellStart"/>
      <w:r w:rsidRPr="007D6C2B">
        <w:t>entlassenen</w:t>
      </w:r>
      <w:proofErr w:type="spellEnd"/>
      <w:r w:rsidRPr="007D6C2B">
        <w:t xml:space="preserve"> </w:t>
      </w:r>
      <w:proofErr w:type="spellStart"/>
      <w:r w:rsidRPr="007D6C2B">
        <w:t>Mitarbeitern</w:t>
      </w:r>
      <w:proofErr w:type="spellEnd"/>
      <w:r w:rsidRPr="007D6C2B">
        <w:t xml:space="preserve"> </w:t>
      </w:r>
      <w:proofErr w:type="spellStart"/>
      <w:r w:rsidRPr="007D6C2B">
        <w:t>bestand</w:t>
      </w:r>
      <w:proofErr w:type="spellEnd"/>
      <w:r w:rsidRPr="007D6C2B">
        <w:t xml:space="preserve"> (Fall 4 in </w:t>
      </w:r>
      <w:proofErr w:type="spellStart"/>
      <w:r w:rsidRPr="007D6C2B">
        <w:t>Kapitel</w:t>
      </w:r>
      <w:proofErr w:type="spellEnd"/>
      <w:r w:rsidRPr="007D6C2B">
        <w:t xml:space="preserve"> 3 von </w:t>
      </w:r>
      <w:proofErr w:type="spellStart"/>
      <w:r w:rsidRPr="007D6C2B">
        <w:t>Kamibayashi</w:t>
      </w:r>
      <w:proofErr w:type="spellEnd"/>
      <w:r w:rsidRPr="007D6C2B">
        <w:t xml:space="preserve"> und Hirasawa, 2008). Die </w:t>
      </w:r>
      <w:proofErr w:type="spellStart"/>
      <w:r w:rsidRPr="007D6C2B">
        <w:t>Klägergruppe</w:t>
      </w:r>
      <w:proofErr w:type="spellEnd"/>
      <w:r w:rsidRPr="007D6C2B">
        <w:t xml:space="preserve"> </w:t>
      </w:r>
      <w:proofErr w:type="spellStart"/>
      <w:r w:rsidRPr="007D6C2B">
        <w:t>setzte</w:t>
      </w:r>
      <w:proofErr w:type="spellEnd"/>
      <w:r w:rsidRPr="007D6C2B">
        <w:t xml:space="preserve"> </w:t>
      </w:r>
      <w:proofErr w:type="spellStart"/>
      <w:r w:rsidRPr="007D6C2B">
        <w:t>ihren</w:t>
      </w:r>
      <w:proofErr w:type="spellEnd"/>
      <w:r w:rsidRPr="007D6C2B">
        <w:t xml:space="preserve"> </w:t>
      </w:r>
      <w:proofErr w:type="spellStart"/>
      <w:r w:rsidRPr="007D6C2B">
        <w:t>Rechtsstreit</w:t>
      </w:r>
      <w:proofErr w:type="spellEnd"/>
      <w:r w:rsidRPr="007D6C2B">
        <w:t xml:space="preserve"> und </w:t>
      </w:r>
      <w:proofErr w:type="spellStart"/>
      <w:r w:rsidRPr="007D6C2B">
        <w:t>ihre</w:t>
      </w:r>
      <w:proofErr w:type="spellEnd"/>
      <w:r w:rsidRPr="007D6C2B">
        <w:t xml:space="preserve"> </w:t>
      </w:r>
      <w:proofErr w:type="spellStart"/>
      <w:r w:rsidRPr="007D6C2B">
        <w:t>Kampagne</w:t>
      </w:r>
      <w:proofErr w:type="spellEnd"/>
      <w:r w:rsidRPr="007D6C2B">
        <w:t xml:space="preserve"> </w:t>
      </w:r>
      <w:proofErr w:type="spellStart"/>
      <w:r w:rsidRPr="007D6C2B">
        <w:t>öffentlich</w:t>
      </w:r>
      <w:proofErr w:type="spellEnd"/>
      <w:r w:rsidRPr="007D6C2B">
        <w:t xml:space="preserve"> fort und </w:t>
      </w:r>
      <w:proofErr w:type="spellStart"/>
      <w:r w:rsidRPr="007D6C2B">
        <w:t>forderte</w:t>
      </w:r>
      <w:proofErr w:type="spellEnd"/>
      <w:r w:rsidRPr="007D6C2B">
        <w:t xml:space="preserve"> die </w:t>
      </w:r>
      <w:proofErr w:type="spellStart"/>
      <w:r w:rsidRPr="007D6C2B">
        <w:t>Wiedereinstellung</w:t>
      </w:r>
      <w:proofErr w:type="spellEnd"/>
      <w:r w:rsidRPr="007D6C2B">
        <w:t xml:space="preserve"> </w:t>
      </w:r>
      <w:proofErr w:type="spellStart"/>
      <w:r w:rsidRPr="007D6C2B">
        <w:t>aller</w:t>
      </w:r>
      <w:proofErr w:type="spellEnd"/>
      <w:r w:rsidRPr="007D6C2B">
        <w:t xml:space="preserve"> </w:t>
      </w:r>
      <w:proofErr w:type="spellStart"/>
      <w:r w:rsidRPr="007D6C2B">
        <w:t>Mitglieder</w:t>
      </w:r>
      <w:proofErr w:type="spellEnd"/>
      <w:r w:rsidRPr="007D6C2B">
        <w:t xml:space="preserve"> in </w:t>
      </w:r>
      <w:proofErr w:type="spellStart"/>
      <w:r w:rsidRPr="007D6C2B">
        <w:t>ihre</w:t>
      </w:r>
      <w:proofErr w:type="spellEnd"/>
      <w:r w:rsidRPr="007D6C2B">
        <w:t xml:space="preserve"> </w:t>
      </w:r>
      <w:proofErr w:type="spellStart"/>
      <w:r w:rsidRPr="007D6C2B">
        <w:t>ursprünglichen</w:t>
      </w:r>
      <w:proofErr w:type="spellEnd"/>
      <w:r w:rsidRPr="007D6C2B">
        <w:t xml:space="preserve"> </w:t>
      </w:r>
      <w:proofErr w:type="spellStart"/>
      <w:r w:rsidRPr="007D6C2B">
        <w:t>Positionen</w:t>
      </w:r>
      <w:proofErr w:type="spellEnd"/>
      <w:r w:rsidRPr="007D6C2B">
        <w:t xml:space="preserve">. Der </w:t>
      </w:r>
      <w:proofErr w:type="spellStart"/>
      <w:r w:rsidRPr="007D6C2B">
        <w:t>Anführer</w:t>
      </w:r>
      <w:proofErr w:type="spellEnd"/>
      <w:r w:rsidRPr="007D6C2B">
        <w:t xml:space="preserve"> </w:t>
      </w:r>
      <w:proofErr w:type="spellStart"/>
      <w:r w:rsidRPr="007D6C2B">
        <w:t>traf</w:t>
      </w:r>
      <w:proofErr w:type="spellEnd"/>
      <w:r w:rsidRPr="007D6C2B">
        <w:t xml:space="preserve"> </w:t>
      </w:r>
      <w:proofErr w:type="spellStart"/>
      <w:r w:rsidRPr="007D6C2B">
        <w:t>sich</w:t>
      </w:r>
      <w:proofErr w:type="spellEnd"/>
      <w:r w:rsidRPr="007D6C2B">
        <w:t xml:space="preserve"> </w:t>
      </w:r>
      <w:proofErr w:type="spellStart"/>
      <w:r w:rsidRPr="007D6C2B">
        <w:t>jedoch</w:t>
      </w:r>
      <w:proofErr w:type="spellEnd"/>
      <w:r w:rsidRPr="007D6C2B">
        <w:t xml:space="preserve"> </w:t>
      </w:r>
      <w:proofErr w:type="spellStart"/>
      <w:r w:rsidRPr="007D6C2B">
        <w:t>privat</w:t>
      </w:r>
      <w:proofErr w:type="spellEnd"/>
      <w:r w:rsidRPr="007D6C2B">
        <w:t xml:space="preserve"> </w:t>
      </w:r>
      <w:proofErr w:type="spellStart"/>
      <w:r w:rsidRPr="007D6C2B">
        <w:t>mit</w:t>
      </w:r>
      <w:proofErr w:type="spellEnd"/>
      <w:r w:rsidRPr="007D6C2B">
        <w:t xml:space="preserve"> dem </w:t>
      </w:r>
      <w:proofErr w:type="spellStart"/>
      <w:r w:rsidRPr="007D6C2B">
        <w:t>vorsitzenden</w:t>
      </w:r>
      <w:proofErr w:type="spellEnd"/>
      <w:r w:rsidRPr="007D6C2B">
        <w:t xml:space="preserve"> Richter, um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Vergleichsvorschlag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erbitten</w:t>
      </w:r>
      <w:proofErr w:type="spellEnd"/>
      <w:r w:rsidRPr="007D6C2B">
        <w:t xml:space="preserve">. Er </w:t>
      </w:r>
      <w:proofErr w:type="spellStart"/>
      <w:r w:rsidRPr="007D6C2B">
        <w:t>erklärte</w:t>
      </w:r>
      <w:proofErr w:type="spellEnd"/>
      <w:r w:rsidRPr="007D6C2B">
        <w:t xml:space="preserve">, er </w:t>
      </w:r>
      <w:proofErr w:type="spellStart"/>
      <w:r w:rsidRPr="007D6C2B">
        <w:t>werde</w:t>
      </w:r>
      <w:proofErr w:type="spellEnd"/>
      <w:r w:rsidRPr="007D6C2B">
        <w:t xml:space="preserve"> die </w:t>
      </w:r>
      <w:proofErr w:type="spellStart"/>
      <w:r w:rsidRPr="007D6C2B">
        <w:t>Meinungen</w:t>
      </w:r>
      <w:proofErr w:type="spellEnd"/>
      <w:r w:rsidRPr="007D6C2B">
        <w:t xml:space="preserve"> der 70 </w:t>
      </w:r>
      <w:proofErr w:type="spellStart"/>
      <w:r w:rsidRPr="007D6C2B">
        <w:t>Kläger</w:t>
      </w:r>
      <w:proofErr w:type="spellEnd"/>
      <w:r w:rsidRPr="007D6C2B">
        <w:t xml:space="preserve"> </w:t>
      </w:r>
      <w:proofErr w:type="spellStart"/>
      <w:r w:rsidRPr="007D6C2B">
        <w:t>bündeln</w:t>
      </w:r>
      <w:proofErr w:type="spellEnd"/>
      <w:r w:rsidRPr="007D6C2B">
        <w:t xml:space="preserve">, </w:t>
      </w:r>
      <w:proofErr w:type="spellStart"/>
      <w:r w:rsidRPr="007D6C2B">
        <w:t>indem</w:t>
      </w:r>
      <w:proofErr w:type="spellEnd"/>
      <w:r w:rsidRPr="007D6C2B">
        <w:t xml:space="preserve"> er </w:t>
      </w:r>
      <w:proofErr w:type="spellStart"/>
      <w:r w:rsidRPr="007D6C2B">
        <w:t>einer</w:t>
      </w:r>
      <w:proofErr w:type="spellEnd"/>
      <w:r w:rsidRPr="007D6C2B">
        <w:t xml:space="preserve"> </w:t>
      </w:r>
      <w:proofErr w:type="spellStart"/>
      <w:r w:rsidRPr="007D6C2B">
        <w:t>Wiedereinstellung</w:t>
      </w:r>
      <w:proofErr w:type="spellEnd"/>
      <w:r w:rsidRPr="007D6C2B">
        <w:t xml:space="preserve"> von 35 </w:t>
      </w:r>
      <w:proofErr w:type="spellStart"/>
      <w:r w:rsidRPr="007D6C2B">
        <w:t>Mitgliedern</w:t>
      </w:r>
      <w:proofErr w:type="spellEnd"/>
      <w:r w:rsidRPr="007D6C2B">
        <w:t xml:space="preserve">, also der </w:t>
      </w:r>
      <w:proofErr w:type="spellStart"/>
      <w:r w:rsidRPr="007D6C2B">
        <w:t>Hälfte</w:t>
      </w:r>
      <w:proofErr w:type="spellEnd"/>
      <w:r w:rsidRPr="007D6C2B">
        <w:t xml:space="preserve"> der Gruppe, </w:t>
      </w:r>
      <w:proofErr w:type="spellStart"/>
      <w:r w:rsidRPr="007D6C2B">
        <w:t>zustimme</w:t>
      </w:r>
      <w:proofErr w:type="spellEnd"/>
      <w:r w:rsidRPr="007D6C2B">
        <w:t xml:space="preserve">. Daher bat er das </w:t>
      </w:r>
      <w:proofErr w:type="spellStart"/>
      <w:r w:rsidRPr="007D6C2B">
        <w:t>Gericht</w:t>
      </w:r>
      <w:proofErr w:type="spellEnd"/>
      <w:r w:rsidRPr="007D6C2B">
        <w:t xml:space="preserve">,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Vergleich</w:t>
      </w:r>
      <w:proofErr w:type="spellEnd"/>
      <w:r w:rsidRPr="007D6C2B">
        <w:t xml:space="preserve"> </w:t>
      </w:r>
      <w:proofErr w:type="spellStart"/>
      <w:r w:rsidRPr="007D6C2B">
        <w:t>vorzuschlagen</w:t>
      </w:r>
      <w:proofErr w:type="spellEnd"/>
      <w:r w:rsidRPr="007D6C2B">
        <w:t xml:space="preserve">, der die </w:t>
      </w:r>
      <w:proofErr w:type="spellStart"/>
      <w:r w:rsidRPr="007D6C2B">
        <w:lastRenderedPageBreak/>
        <w:t>Wiedereinstellung</w:t>
      </w:r>
      <w:proofErr w:type="spellEnd"/>
      <w:r w:rsidRPr="007D6C2B">
        <w:t xml:space="preserve"> der </w:t>
      </w:r>
      <w:proofErr w:type="spellStart"/>
      <w:r w:rsidRPr="007D6C2B">
        <w:t>Hälfte</w:t>
      </w:r>
      <w:proofErr w:type="spellEnd"/>
      <w:r w:rsidRPr="007D6C2B">
        <w:t xml:space="preserve"> der Gruppe </w:t>
      </w:r>
      <w:proofErr w:type="spellStart"/>
      <w:r w:rsidRPr="007D6C2B">
        <w:t>vorsah</w:t>
      </w:r>
      <w:proofErr w:type="spellEnd"/>
      <w:r w:rsidRPr="007D6C2B">
        <w:t>.</w:t>
      </w:r>
    </w:p>
    <w:p w14:paraId="71900377" w14:textId="77777777" w:rsidR="007D6C2B" w:rsidRPr="007D6C2B" w:rsidRDefault="007D6C2B" w:rsidP="007D6C2B">
      <w:r w:rsidRPr="007D6C2B">
        <w:t xml:space="preserve">Der </w:t>
      </w:r>
      <w:proofErr w:type="spellStart"/>
      <w:r w:rsidRPr="007D6C2B">
        <w:t>Anführer</w:t>
      </w:r>
      <w:proofErr w:type="spellEnd"/>
      <w:r w:rsidRPr="007D6C2B">
        <w:t xml:space="preserve"> </w:t>
      </w:r>
      <w:proofErr w:type="spellStart"/>
      <w:r w:rsidRPr="007D6C2B">
        <w:t>wusste</w:t>
      </w:r>
      <w:proofErr w:type="spellEnd"/>
      <w:r w:rsidRPr="007D6C2B">
        <w:t xml:space="preserve"> </w:t>
      </w:r>
      <w:proofErr w:type="spellStart"/>
      <w:r w:rsidRPr="007D6C2B">
        <w:t>Bescheid</w:t>
      </w:r>
      <w:proofErr w:type="spellEnd"/>
      <w:r w:rsidRPr="007D6C2B">
        <w:t xml:space="preserve">. </w:t>
      </w:r>
      <w:proofErr w:type="spellStart"/>
      <w:r w:rsidRPr="007D6C2B">
        <w:t>Innerhalb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bemühten</w:t>
      </w:r>
      <w:proofErr w:type="spellEnd"/>
      <w:r w:rsidRPr="007D6C2B">
        <w:t xml:space="preserve"> </w:t>
      </w:r>
      <w:proofErr w:type="spellStart"/>
      <w:r w:rsidRPr="007D6C2B">
        <w:t>sich</w:t>
      </w:r>
      <w:proofErr w:type="spellEnd"/>
      <w:r w:rsidRPr="007D6C2B">
        <w:t xml:space="preserve"> </w:t>
      </w:r>
      <w:proofErr w:type="spellStart"/>
      <w:r w:rsidRPr="007D6C2B">
        <w:t>sowohl</w:t>
      </w:r>
      <w:proofErr w:type="spellEnd"/>
      <w:r w:rsidRPr="007D6C2B">
        <w:t xml:space="preserve"> der </w:t>
      </w:r>
      <w:proofErr w:type="spellStart"/>
      <w:r w:rsidRPr="007D6C2B">
        <w:t>Personalchef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auch</w:t>
      </w:r>
      <w:proofErr w:type="spellEnd"/>
      <w:r w:rsidRPr="007D6C2B">
        <w:t xml:space="preserve"> der </w:t>
      </w:r>
      <w:proofErr w:type="spellStart"/>
      <w:r w:rsidRPr="007D6C2B">
        <w:t>Rechtsberater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, die interne Meinung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konsolidieren</w:t>
      </w:r>
      <w:proofErr w:type="spellEnd"/>
      <w:r w:rsidRPr="007D6C2B">
        <w:t xml:space="preserve">. </w:t>
      </w:r>
      <w:proofErr w:type="spellStart"/>
      <w:r w:rsidRPr="007D6C2B">
        <w:t>Im</w:t>
      </w:r>
      <w:proofErr w:type="spellEnd"/>
      <w:r w:rsidRPr="007D6C2B">
        <w:t xml:space="preserve"> </w:t>
      </w:r>
      <w:proofErr w:type="spellStart"/>
      <w:r w:rsidRPr="007D6C2B">
        <w:t>Zuge</w:t>
      </w:r>
      <w:proofErr w:type="spellEnd"/>
      <w:r w:rsidRPr="007D6C2B">
        <w:t xml:space="preserve"> der </w:t>
      </w:r>
      <w:proofErr w:type="spellStart"/>
      <w:r w:rsidRPr="007D6C2B">
        <w:t>Umstrukturierung</w:t>
      </w:r>
      <w:proofErr w:type="spellEnd"/>
      <w:r w:rsidRPr="007D6C2B">
        <w:t xml:space="preserve"> </w:t>
      </w:r>
      <w:proofErr w:type="spellStart"/>
      <w:r w:rsidRPr="007D6C2B">
        <w:t>hatte</w:t>
      </w:r>
      <w:proofErr w:type="spellEnd"/>
      <w:r w:rsidRPr="007D6C2B">
        <w:t xml:space="preserve"> das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gefügige</w:t>
      </w:r>
      <w:proofErr w:type="spellEnd"/>
      <w:r w:rsidRPr="007D6C2B">
        <w:t xml:space="preserve"> Mitarbeiter </w:t>
      </w:r>
      <w:proofErr w:type="spellStart"/>
      <w:r w:rsidRPr="007D6C2B">
        <w:t>entlassen</w:t>
      </w:r>
      <w:proofErr w:type="spellEnd"/>
      <w:r w:rsidRPr="007D6C2B">
        <w:t xml:space="preserve">. </w:t>
      </w:r>
      <w:proofErr w:type="spellStart"/>
      <w:r w:rsidRPr="007D6C2B">
        <w:t>Angesichts</w:t>
      </w:r>
      <w:proofErr w:type="spellEnd"/>
      <w:r w:rsidRPr="007D6C2B">
        <w:t xml:space="preserve"> der Mitarbeiter, die </w:t>
      </w:r>
      <w:proofErr w:type="spellStart"/>
      <w:r w:rsidRPr="007D6C2B">
        <w:t>ohne</w:t>
      </w:r>
      <w:proofErr w:type="spellEnd"/>
      <w:r w:rsidRPr="007D6C2B">
        <w:t xml:space="preserve"> Widerstand </w:t>
      </w:r>
      <w:proofErr w:type="spellStart"/>
      <w:r w:rsidRPr="007D6C2B">
        <w:t>gegangen</w:t>
      </w:r>
      <w:proofErr w:type="spellEnd"/>
      <w:r w:rsidRPr="007D6C2B">
        <w:t xml:space="preserve"> </w:t>
      </w:r>
      <w:proofErr w:type="spellStart"/>
      <w:r w:rsidRPr="007D6C2B">
        <w:t>waren</w:t>
      </w:r>
      <w:proofErr w:type="spellEnd"/>
      <w:r w:rsidRPr="007D6C2B">
        <w:t xml:space="preserve">, </w:t>
      </w:r>
      <w:proofErr w:type="spellStart"/>
      <w:r w:rsidRPr="007D6C2B">
        <w:t>waren</w:t>
      </w:r>
      <w:proofErr w:type="spellEnd"/>
      <w:r w:rsidRPr="007D6C2B">
        <w:t xml:space="preserve"> </w:t>
      </w:r>
      <w:proofErr w:type="spellStart"/>
      <w:r w:rsidRPr="007D6C2B">
        <w:t>viele</w:t>
      </w:r>
      <w:proofErr w:type="spellEnd"/>
      <w:r w:rsidRPr="007D6C2B">
        <w:t xml:space="preserve"> </w:t>
      </w:r>
      <w:proofErr w:type="spellStart"/>
      <w:r w:rsidRPr="007D6C2B">
        <w:t>innerhalb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der Meinung, </w:t>
      </w:r>
      <w:proofErr w:type="spellStart"/>
      <w:r w:rsidRPr="007D6C2B">
        <w:t>dass</w:t>
      </w:r>
      <w:proofErr w:type="spellEnd"/>
      <w:r w:rsidRPr="007D6C2B">
        <w:t xml:space="preserve"> die </w:t>
      </w:r>
      <w:proofErr w:type="spellStart"/>
      <w:r w:rsidRPr="007D6C2B">
        <w:t>Kläger</w:t>
      </w:r>
      <w:proofErr w:type="spellEnd"/>
      <w:r w:rsidRPr="007D6C2B">
        <w:t xml:space="preserve">, die </w:t>
      </w:r>
      <w:proofErr w:type="spellStart"/>
      <w:r w:rsidRPr="007D6C2B">
        <w:t>geklagt</w:t>
      </w:r>
      <w:proofErr w:type="spellEnd"/>
      <w:r w:rsidRPr="007D6C2B">
        <w:t xml:space="preserve"> und </w:t>
      </w:r>
      <w:proofErr w:type="spellStart"/>
      <w:r w:rsidRPr="007D6C2B">
        <w:t>sich</w:t>
      </w:r>
      <w:proofErr w:type="spellEnd"/>
      <w:r w:rsidRPr="007D6C2B">
        <w:t xml:space="preserve"> dem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widersetzt</w:t>
      </w:r>
      <w:proofErr w:type="spellEnd"/>
      <w:r w:rsidRPr="007D6C2B">
        <w:t xml:space="preserve"> </w:t>
      </w:r>
      <w:proofErr w:type="spellStart"/>
      <w:r w:rsidRPr="007D6C2B">
        <w:t>hatten</w:t>
      </w:r>
      <w:proofErr w:type="spellEnd"/>
      <w:r w:rsidRPr="007D6C2B">
        <w:t xml:space="preserve">, nicht </w:t>
      </w:r>
      <w:proofErr w:type="spellStart"/>
      <w:r w:rsidRPr="007D6C2B">
        <w:t>wieder</w:t>
      </w:r>
      <w:proofErr w:type="spellEnd"/>
      <w:r w:rsidRPr="007D6C2B">
        <w:t xml:space="preserve"> </w:t>
      </w:r>
      <w:proofErr w:type="spellStart"/>
      <w:r w:rsidRPr="007D6C2B">
        <w:t>eingestellt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 xml:space="preserve"> </w:t>
      </w:r>
      <w:proofErr w:type="spellStart"/>
      <w:r w:rsidRPr="007D6C2B">
        <w:t>sollten</w:t>
      </w:r>
      <w:proofErr w:type="spellEnd"/>
      <w:r w:rsidRPr="007D6C2B">
        <w:t xml:space="preserve">. Der </w:t>
      </w:r>
      <w:proofErr w:type="spellStart"/>
      <w:r w:rsidRPr="007D6C2B">
        <w:t>Personalchef</w:t>
      </w:r>
      <w:proofErr w:type="spellEnd"/>
      <w:r w:rsidRPr="007D6C2B">
        <w:t xml:space="preserve"> </w:t>
      </w:r>
      <w:proofErr w:type="spellStart"/>
      <w:r w:rsidRPr="007D6C2B">
        <w:t>wollte</w:t>
      </w:r>
      <w:proofErr w:type="spellEnd"/>
      <w:r w:rsidRPr="007D6C2B">
        <w:t xml:space="preserve"> den Streit schnell </w:t>
      </w:r>
      <w:proofErr w:type="spellStart"/>
      <w:r w:rsidRPr="007D6C2B">
        <w:t>beilegen</w:t>
      </w:r>
      <w:proofErr w:type="spellEnd"/>
      <w:r w:rsidRPr="007D6C2B">
        <w:t xml:space="preserve">, </w:t>
      </w:r>
      <w:proofErr w:type="spellStart"/>
      <w:r w:rsidRPr="007D6C2B">
        <w:t>konnte</w:t>
      </w:r>
      <w:proofErr w:type="spellEnd"/>
      <w:r w:rsidRPr="007D6C2B">
        <w:t xml:space="preserve"> </w:t>
      </w:r>
      <w:proofErr w:type="spellStart"/>
      <w:r w:rsidRPr="007D6C2B">
        <w:t>aber</w:t>
      </w:r>
      <w:proofErr w:type="spellEnd"/>
      <w:r w:rsidRPr="007D6C2B">
        <w:t xml:space="preserve"> die interne Meinung nicht </w:t>
      </w:r>
      <w:proofErr w:type="spellStart"/>
      <w:r w:rsidRPr="007D6C2B">
        <w:t>vereinheitlichen</w:t>
      </w:r>
      <w:proofErr w:type="spellEnd"/>
      <w:r w:rsidRPr="007D6C2B">
        <w:t xml:space="preserve">. Der </w:t>
      </w:r>
      <w:proofErr w:type="spellStart"/>
      <w:r w:rsidRPr="007D6C2B">
        <w:t>Anführer</w:t>
      </w:r>
      <w:proofErr w:type="spellEnd"/>
      <w:r w:rsidRPr="007D6C2B">
        <w:t xml:space="preserve"> der </w:t>
      </w:r>
      <w:proofErr w:type="spellStart"/>
      <w:r w:rsidRPr="007D6C2B">
        <w:t>Klägergruppe</w:t>
      </w:r>
      <w:proofErr w:type="spellEnd"/>
      <w:r w:rsidRPr="007D6C2B">
        <w:t xml:space="preserve"> war </w:t>
      </w:r>
      <w:proofErr w:type="spellStart"/>
      <w:r w:rsidRPr="007D6C2B">
        <w:t>sich</w:t>
      </w:r>
      <w:proofErr w:type="spellEnd"/>
      <w:r w:rsidRPr="007D6C2B">
        <w:t xml:space="preserve"> </w:t>
      </w:r>
      <w:proofErr w:type="spellStart"/>
      <w:r w:rsidRPr="007D6C2B">
        <w:t>dessen</w:t>
      </w:r>
      <w:proofErr w:type="spellEnd"/>
      <w:r w:rsidRPr="007D6C2B">
        <w:t xml:space="preserve"> </w:t>
      </w:r>
      <w:proofErr w:type="spellStart"/>
      <w:r w:rsidRPr="007D6C2B">
        <w:t>bewusst</w:t>
      </w:r>
      <w:proofErr w:type="spellEnd"/>
      <w:r w:rsidRPr="007D6C2B">
        <w:t xml:space="preserve"> und </w:t>
      </w:r>
      <w:proofErr w:type="spellStart"/>
      <w:r w:rsidRPr="007D6C2B">
        <w:t>kam</w:t>
      </w:r>
      <w:proofErr w:type="spellEnd"/>
      <w:r w:rsidRPr="007D6C2B">
        <w:t xml:space="preserve"> auf die Idee, das </w:t>
      </w:r>
      <w:proofErr w:type="spellStart"/>
      <w:r w:rsidRPr="007D6C2B">
        <w:t>Gericht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bitten, dem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Vergleich</w:t>
      </w:r>
      <w:proofErr w:type="spellEnd"/>
      <w:r w:rsidRPr="007D6C2B">
        <w:t xml:space="preserve"> </w:t>
      </w:r>
      <w:proofErr w:type="spellStart"/>
      <w:r w:rsidRPr="007D6C2B">
        <w:t>vorzuschlagen</w:t>
      </w:r>
      <w:proofErr w:type="spellEnd"/>
      <w:r w:rsidRPr="007D6C2B">
        <w:t xml:space="preserve">, der die </w:t>
      </w:r>
      <w:proofErr w:type="spellStart"/>
      <w:r w:rsidRPr="007D6C2B">
        <w:t>Wiedereinstellung</w:t>
      </w:r>
      <w:proofErr w:type="spellEnd"/>
      <w:r w:rsidRPr="007D6C2B">
        <w:t xml:space="preserve"> der </w:t>
      </w:r>
      <w:proofErr w:type="spellStart"/>
      <w:r w:rsidRPr="007D6C2B">
        <w:t>Hälfte</w:t>
      </w:r>
      <w:proofErr w:type="spellEnd"/>
      <w:r w:rsidRPr="007D6C2B">
        <w:t xml:space="preserve"> der Mitarbeiter </w:t>
      </w:r>
      <w:proofErr w:type="spellStart"/>
      <w:r w:rsidRPr="007D6C2B">
        <w:t>vorsah</w:t>
      </w:r>
      <w:proofErr w:type="spellEnd"/>
      <w:r w:rsidRPr="007D6C2B">
        <w:t xml:space="preserve">. Der </w:t>
      </w:r>
      <w:proofErr w:type="spellStart"/>
      <w:r w:rsidRPr="007D6C2B">
        <w:t>Anführer</w:t>
      </w:r>
      <w:proofErr w:type="spellEnd"/>
      <w:r w:rsidRPr="007D6C2B">
        <w:t xml:space="preserve"> der </w:t>
      </w:r>
      <w:proofErr w:type="spellStart"/>
      <w:r w:rsidRPr="007D6C2B">
        <w:t>Klägergruppe</w:t>
      </w:r>
      <w:proofErr w:type="spellEnd"/>
      <w:r w:rsidRPr="007D6C2B">
        <w:t xml:space="preserve"> </w:t>
      </w:r>
      <w:proofErr w:type="spellStart"/>
      <w:r w:rsidRPr="007D6C2B">
        <w:t>argumentierte</w:t>
      </w:r>
      <w:proofErr w:type="spellEnd"/>
      <w:r w:rsidRPr="007D6C2B">
        <w:t xml:space="preserve">, </w:t>
      </w:r>
      <w:proofErr w:type="spellStart"/>
      <w:r w:rsidRPr="007D6C2B">
        <w:t>dass</w:t>
      </w:r>
      <w:proofErr w:type="spellEnd"/>
      <w:r w:rsidRPr="007D6C2B">
        <w:t xml:space="preserve"> </w:t>
      </w:r>
      <w:proofErr w:type="spellStart"/>
      <w:r w:rsidRPr="007D6C2B">
        <w:t>ohne</w:t>
      </w:r>
      <w:proofErr w:type="spellEnd"/>
      <w:r w:rsidRPr="007D6C2B">
        <w:t xml:space="preserve"> den </w:t>
      </w:r>
      <w:proofErr w:type="spellStart"/>
      <w:r w:rsidRPr="007D6C2B">
        <w:t>externen</w:t>
      </w:r>
      <w:proofErr w:type="spellEnd"/>
      <w:r w:rsidRPr="007D6C2B">
        <w:t xml:space="preserve"> Druck in Form </w:t>
      </w:r>
      <w:proofErr w:type="spellStart"/>
      <w:r w:rsidRPr="007D6C2B">
        <w:t>eines</w:t>
      </w:r>
      <w:proofErr w:type="spellEnd"/>
      <w:r w:rsidRPr="007D6C2B">
        <w:t xml:space="preserve"> </w:t>
      </w:r>
      <w:proofErr w:type="spellStart"/>
      <w:r w:rsidRPr="007D6C2B">
        <w:t>Gerichtsvorschlags</w:t>
      </w:r>
      <w:proofErr w:type="spellEnd"/>
      <w:r w:rsidRPr="007D6C2B">
        <w:t xml:space="preserve"> die </w:t>
      </w:r>
      <w:proofErr w:type="spellStart"/>
      <w:r w:rsidRPr="007D6C2B">
        <w:t>Meinungen</w:t>
      </w:r>
      <w:proofErr w:type="spellEnd"/>
      <w:r w:rsidRPr="007D6C2B">
        <w:t xml:space="preserve"> intern </w:t>
      </w:r>
      <w:proofErr w:type="spellStart"/>
      <w:r w:rsidRPr="007D6C2B">
        <w:t>weiterhin</w:t>
      </w:r>
      <w:proofErr w:type="spellEnd"/>
      <w:r w:rsidRPr="007D6C2B">
        <w:t xml:space="preserve"> </w:t>
      </w:r>
      <w:proofErr w:type="spellStart"/>
      <w:r w:rsidRPr="007D6C2B">
        <w:t>geteilt</w:t>
      </w:r>
      <w:proofErr w:type="spellEnd"/>
      <w:r w:rsidRPr="007D6C2B">
        <w:t xml:space="preserve"> </w:t>
      </w:r>
      <w:proofErr w:type="spellStart"/>
      <w:r w:rsidRPr="007D6C2B">
        <w:t>bleiben</w:t>
      </w:r>
      <w:proofErr w:type="spellEnd"/>
      <w:r w:rsidRPr="007D6C2B">
        <w:t xml:space="preserve"> </w:t>
      </w:r>
      <w:proofErr w:type="spellStart"/>
      <w:r w:rsidRPr="007D6C2B">
        <w:t>würden</w:t>
      </w:r>
      <w:proofErr w:type="spellEnd"/>
      <w:r w:rsidRPr="007D6C2B">
        <w:t xml:space="preserve">. </w:t>
      </w:r>
      <w:proofErr w:type="spellStart"/>
      <w:r w:rsidRPr="007D6C2B">
        <w:t>Tatsächlich</w:t>
      </w:r>
      <w:proofErr w:type="spellEnd"/>
      <w:r w:rsidRPr="007D6C2B">
        <w:t xml:space="preserve"> </w:t>
      </w:r>
      <w:proofErr w:type="spellStart"/>
      <w:r w:rsidRPr="007D6C2B">
        <w:t>wurde</w:t>
      </w:r>
      <w:proofErr w:type="spellEnd"/>
      <w:r w:rsidRPr="007D6C2B">
        <w:t xml:space="preserve"> </w:t>
      </w:r>
      <w:proofErr w:type="spellStart"/>
      <w:r w:rsidRPr="007D6C2B">
        <w:t>dieser</w:t>
      </w:r>
      <w:proofErr w:type="spellEnd"/>
      <w:r w:rsidRPr="007D6C2B">
        <w:t xml:space="preserve"> Fall </w:t>
      </w:r>
      <w:proofErr w:type="spellStart"/>
      <w:r w:rsidRPr="007D6C2B">
        <w:t>mit</w:t>
      </w:r>
      <w:proofErr w:type="spellEnd"/>
      <w:r w:rsidRPr="007D6C2B">
        <w:t xml:space="preserve"> der </w:t>
      </w:r>
      <w:proofErr w:type="spellStart"/>
      <w:r w:rsidRPr="007D6C2B">
        <w:t>Wiedereinstellung</w:t>
      </w:r>
      <w:proofErr w:type="spellEnd"/>
      <w:r w:rsidRPr="007D6C2B">
        <w:t xml:space="preserve"> der </w:t>
      </w:r>
      <w:proofErr w:type="spellStart"/>
      <w:r w:rsidRPr="007D6C2B">
        <w:t>Hälfte</w:t>
      </w:r>
      <w:proofErr w:type="spellEnd"/>
      <w:r w:rsidRPr="007D6C2B">
        <w:t xml:space="preserve"> der Mitarbeiter </w:t>
      </w:r>
      <w:proofErr w:type="spellStart"/>
      <w:r w:rsidRPr="007D6C2B">
        <w:t>beigelegt</w:t>
      </w:r>
      <w:proofErr w:type="spellEnd"/>
      <w:r w:rsidRPr="007D6C2B">
        <w:t>.</w:t>
      </w:r>
    </w:p>
    <w:p w14:paraId="3CE1E29E" w14:textId="77777777" w:rsidR="007D6C2B" w:rsidRPr="007D6C2B" w:rsidRDefault="007D6C2B" w:rsidP="007D6C2B">
      <w:r w:rsidRPr="007D6C2B">
        <w:t xml:space="preserve">Das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der </w:t>
      </w:r>
      <w:proofErr w:type="spellStart"/>
      <w:r w:rsidRPr="007D6C2B">
        <w:t>Entlassung</w:t>
      </w:r>
      <w:proofErr w:type="spellEnd"/>
      <w:r w:rsidRPr="007D6C2B">
        <w:t xml:space="preserve"> </w:t>
      </w:r>
      <w:proofErr w:type="spellStart"/>
      <w:r w:rsidRPr="007D6C2B">
        <w:t>ohne</w:t>
      </w:r>
      <w:proofErr w:type="spellEnd"/>
      <w:r w:rsidRPr="007D6C2B">
        <w:t xml:space="preserve"> Widerstand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verlassen</w:t>
      </w:r>
      <w:proofErr w:type="spellEnd"/>
      <w:r w:rsidRPr="007D6C2B">
        <w:t xml:space="preserve">, </w:t>
      </w:r>
      <w:proofErr w:type="spellStart"/>
      <w:r w:rsidRPr="007D6C2B">
        <w:t>trägt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seinem</w:t>
      </w:r>
      <w:proofErr w:type="spellEnd"/>
      <w:r w:rsidRPr="007D6C2B">
        <w:t xml:space="preserve"> </w:t>
      </w:r>
      <w:proofErr w:type="spellStart"/>
      <w:r w:rsidRPr="007D6C2B">
        <w:t>Fortbestand</w:t>
      </w:r>
      <w:proofErr w:type="spellEnd"/>
      <w:r w:rsidRPr="007D6C2B">
        <w:t xml:space="preserve"> und </w:t>
      </w:r>
      <w:proofErr w:type="spellStart"/>
      <w:r w:rsidRPr="007D6C2B">
        <w:t>Wohlstand</w:t>
      </w:r>
      <w:proofErr w:type="spellEnd"/>
      <w:r w:rsidRPr="007D6C2B">
        <w:t xml:space="preserve"> </w:t>
      </w:r>
      <w:proofErr w:type="spellStart"/>
      <w:r w:rsidRPr="007D6C2B">
        <w:t>bei</w:t>
      </w:r>
      <w:proofErr w:type="spellEnd"/>
      <w:r w:rsidRPr="007D6C2B">
        <w:t xml:space="preserve">. </w:t>
      </w:r>
      <w:proofErr w:type="spellStart"/>
      <w:r w:rsidRPr="007D6C2B">
        <w:t>Sich</w:t>
      </w:r>
      <w:proofErr w:type="spellEnd"/>
      <w:r w:rsidRPr="007D6C2B">
        <w:t xml:space="preserve"> </w:t>
      </w:r>
      <w:proofErr w:type="spellStart"/>
      <w:r w:rsidRPr="007D6C2B">
        <w:t>gegen</w:t>
      </w:r>
      <w:proofErr w:type="spellEnd"/>
      <w:r w:rsidRPr="007D6C2B">
        <w:t xml:space="preserve"> die </w:t>
      </w:r>
      <w:proofErr w:type="spellStart"/>
      <w:r w:rsidRPr="007D6C2B">
        <w:t>Entlassung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wehren</w:t>
      </w:r>
      <w:proofErr w:type="spellEnd"/>
      <w:r w:rsidRPr="007D6C2B">
        <w:t xml:space="preserve"> und </w:t>
      </w:r>
      <w:proofErr w:type="spellStart"/>
      <w:r w:rsidRPr="007D6C2B">
        <w:t>einen</w:t>
      </w:r>
      <w:proofErr w:type="spellEnd"/>
      <w:r w:rsidRPr="007D6C2B">
        <w:t xml:space="preserve"> </w:t>
      </w:r>
      <w:proofErr w:type="spellStart"/>
      <w:r w:rsidRPr="007D6C2B">
        <w:t>Rechtsstreit</w:t>
      </w:r>
      <w:proofErr w:type="spellEnd"/>
      <w:r w:rsidRPr="007D6C2B">
        <w:t xml:space="preserve"> </w:t>
      </w:r>
      <w:proofErr w:type="spellStart"/>
      <w:r w:rsidRPr="007D6C2B">
        <w:t>anzustrengen</w:t>
      </w:r>
      <w:proofErr w:type="spellEnd"/>
      <w:r w:rsidRPr="007D6C2B">
        <w:t xml:space="preserve">, </w:t>
      </w:r>
      <w:proofErr w:type="spellStart"/>
      <w:r w:rsidRPr="007D6C2B">
        <w:t>behindert</w:t>
      </w:r>
      <w:proofErr w:type="spellEnd"/>
      <w:r w:rsidRPr="007D6C2B">
        <w:t xml:space="preserve"> den </w:t>
      </w:r>
      <w:proofErr w:type="spellStart"/>
      <w:r w:rsidRPr="007D6C2B">
        <w:t>Fortbestand</w:t>
      </w:r>
      <w:proofErr w:type="spellEnd"/>
      <w:r w:rsidRPr="007D6C2B">
        <w:t xml:space="preserve"> und </w:t>
      </w:r>
      <w:proofErr w:type="spellStart"/>
      <w:r w:rsidRPr="007D6C2B">
        <w:t>Wohlstand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. Dies </w:t>
      </w:r>
      <w:proofErr w:type="spellStart"/>
      <w:r w:rsidRPr="007D6C2B">
        <w:t>spiegelt</w:t>
      </w:r>
      <w:proofErr w:type="spellEnd"/>
      <w:r w:rsidRPr="007D6C2B">
        <w:t xml:space="preserve"> die Dynamik </w:t>
      </w:r>
      <w:proofErr w:type="spellStart"/>
      <w:r w:rsidRPr="007D6C2B">
        <w:t>zwischen</w:t>
      </w:r>
      <w:proofErr w:type="spellEnd"/>
      <w:r w:rsidRPr="007D6C2B">
        <w:t xml:space="preserve"> den </w:t>
      </w:r>
      <w:proofErr w:type="spellStart"/>
      <w:r w:rsidRPr="007D6C2B">
        <w:t>unterstützenden</w:t>
      </w:r>
      <w:proofErr w:type="spellEnd"/>
      <w:r w:rsidRPr="007D6C2B">
        <w:t xml:space="preserve"> und den </w:t>
      </w:r>
      <w:proofErr w:type="spellStart"/>
      <w:r w:rsidRPr="007D6C2B">
        <w:t>oppositionellen</w:t>
      </w:r>
      <w:proofErr w:type="spellEnd"/>
      <w:r w:rsidRPr="007D6C2B">
        <w:t xml:space="preserve"> </w:t>
      </w:r>
      <w:proofErr w:type="spellStart"/>
      <w:r w:rsidRPr="007D6C2B">
        <w:t>Fraktionen</w:t>
      </w:r>
      <w:proofErr w:type="spellEnd"/>
      <w:r w:rsidRPr="007D6C2B">
        <w:t xml:space="preserve"> in Fall 2 wider. Mito (1991) und Ikeuchi (2019) </w:t>
      </w:r>
      <w:proofErr w:type="spellStart"/>
      <w:r w:rsidRPr="007D6C2B">
        <w:t>konzipierten</w:t>
      </w:r>
      <w:proofErr w:type="spellEnd"/>
      <w:r w:rsidRPr="007D6C2B">
        <w:t xml:space="preserve"> </w:t>
      </w:r>
      <w:proofErr w:type="spellStart"/>
      <w:r w:rsidRPr="007D6C2B">
        <w:t>japanische</w:t>
      </w:r>
      <w:proofErr w:type="spellEnd"/>
      <w:r w:rsidRPr="007D6C2B">
        <w:t xml:space="preserve">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als</w:t>
      </w:r>
      <w:proofErr w:type="spellEnd"/>
      <w:r w:rsidRPr="007D6C2B">
        <w:t xml:space="preserve"> </w:t>
      </w:r>
      <w:proofErr w:type="spellStart"/>
      <w:r w:rsidRPr="007D6C2B">
        <w:t>Schicksalsgemeinschaften</w:t>
      </w:r>
      <w:proofErr w:type="spellEnd"/>
      <w:r w:rsidRPr="007D6C2B">
        <w:t xml:space="preserve">, die </w:t>
      </w:r>
      <w:proofErr w:type="spellStart"/>
      <w:r w:rsidRPr="007D6C2B">
        <w:t>sich</w:t>
      </w:r>
      <w:proofErr w:type="spellEnd"/>
      <w:r w:rsidRPr="007D6C2B">
        <w:t xml:space="preserve"> </w:t>
      </w:r>
      <w:proofErr w:type="spellStart"/>
      <w:r w:rsidRPr="007D6C2B">
        <w:t>aus</w:t>
      </w:r>
      <w:proofErr w:type="spellEnd"/>
      <w:r w:rsidRPr="007D6C2B">
        <w:t xml:space="preserve"> </w:t>
      </w:r>
      <w:proofErr w:type="spellStart"/>
      <w:r w:rsidRPr="007D6C2B">
        <w:t>denjenigen</w:t>
      </w:r>
      <w:proofErr w:type="spellEnd"/>
      <w:r w:rsidRPr="007D6C2B">
        <w:t xml:space="preserve"> </w:t>
      </w:r>
      <w:proofErr w:type="spellStart"/>
      <w:r w:rsidRPr="007D6C2B">
        <w:t>zusammensetzen</w:t>
      </w:r>
      <w:proofErr w:type="spellEnd"/>
      <w:r w:rsidRPr="007D6C2B">
        <w:t xml:space="preserve">, </w:t>
      </w:r>
      <w:proofErr w:type="spellStart"/>
      <w:r w:rsidRPr="007D6C2B">
        <w:t>denen</w:t>
      </w:r>
      <w:proofErr w:type="spellEnd"/>
      <w:r w:rsidRPr="007D6C2B">
        <w:t xml:space="preserve"> es </w:t>
      </w:r>
      <w:proofErr w:type="spellStart"/>
      <w:r w:rsidRPr="007D6C2B">
        <w:t>gestattet</w:t>
      </w:r>
      <w:proofErr w:type="spellEnd"/>
      <w:r w:rsidRPr="007D6C2B">
        <w:t xml:space="preserve"> </w:t>
      </w:r>
      <w:proofErr w:type="spellStart"/>
      <w:r w:rsidRPr="007D6C2B">
        <w:t>ist</w:t>
      </w:r>
      <w:proofErr w:type="spellEnd"/>
      <w:r w:rsidRPr="007D6C2B">
        <w:t xml:space="preserve">, </w:t>
      </w:r>
      <w:proofErr w:type="spellStart"/>
      <w:r w:rsidRPr="007D6C2B">
        <w:t>innerhalb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weiter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existieren</w:t>
      </w:r>
      <w:proofErr w:type="spellEnd"/>
      <w:r w:rsidRPr="007D6C2B">
        <w:t>.</w:t>
      </w:r>
    </w:p>
    <w:p w14:paraId="40BFA0F0" w14:textId="77777777" w:rsidR="00FC0908" w:rsidRPr="007D6C2B" w:rsidRDefault="00FC0908" w:rsidP="00A13815"/>
    <w:p w14:paraId="128DF35A" w14:textId="77777777" w:rsidR="007D6C2B" w:rsidRPr="007D6C2B" w:rsidRDefault="007D6C2B" w:rsidP="007D6C2B">
      <w:r w:rsidRPr="007D6C2B">
        <w:rPr>
          <w:b/>
          <w:bCs/>
        </w:rPr>
        <w:t xml:space="preserve">5. </w:t>
      </w:r>
      <w:proofErr w:type="spellStart"/>
      <w:r w:rsidRPr="007D6C2B">
        <w:rPr>
          <w:b/>
          <w:bCs/>
        </w:rPr>
        <w:t>Schlussfolgerung</w:t>
      </w:r>
      <w:proofErr w:type="spellEnd"/>
    </w:p>
    <w:p w14:paraId="6ABD8734" w14:textId="77777777" w:rsidR="007D6C2B" w:rsidRDefault="007D6C2B" w:rsidP="007D6C2B">
      <w:proofErr w:type="spellStart"/>
      <w:r w:rsidRPr="007D6C2B">
        <w:t>Kläger</w:t>
      </w:r>
      <w:proofErr w:type="spellEnd"/>
      <w:r w:rsidRPr="007D6C2B">
        <w:t xml:space="preserve">, die </w:t>
      </w:r>
      <w:proofErr w:type="spellStart"/>
      <w:r w:rsidRPr="007D6C2B">
        <w:t>ihre</w:t>
      </w:r>
      <w:proofErr w:type="spellEnd"/>
      <w:r w:rsidRPr="007D6C2B">
        <w:t xml:space="preserve"> </w:t>
      </w:r>
      <w:proofErr w:type="spellStart"/>
      <w:r w:rsidRPr="007D6C2B">
        <w:t>Klagen</w:t>
      </w:r>
      <w:proofErr w:type="spellEnd"/>
      <w:r w:rsidRPr="007D6C2B">
        <w:t xml:space="preserve"> </w:t>
      </w:r>
      <w:proofErr w:type="spellStart"/>
      <w:r w:rsidRPr="007D6C2B">
        <w:t>fortsetzen</w:t>
      </w:r>
      <w:proofErr w:type="spellEnd"/>
      <w:r w:rsidRPr="007D6C2B">
        <w:t xml:space="preserve">, um negative </w:t>
      </w:r>
      <w:proofErr w:type="spellStart"/>
      <w:r w:rsidRPr="007D6C2B">
        <w:t>Auswirkungen</w:t>
      </w:r>
      <w:proofErr w:type="spellEnd"/>
      <w:r w:rsidRPr="007D6C2B">
        <w:t xml:space="preserve"> auf </w:t>
      </w:r>
      <w:proofErr w:type="spellStart"/>
      <w:r w:rsidRPr="007D6C2B">
        <w:t>andere</w:t>
      </w:r>
      <w:proofErr w:type="spellEnd"/>
      <w:r w:rsidRPr="007D6C2B">
        <w:t xml:space="preserve"> </w:t>
      </w:r>
      <w:proofErr w:type="spellStart"/>
      <w:r w:rsidRPr="007D6C2B">
        <w:t>Arbeitnehmer</w:t>
      </w:r>
      <w:proofErr w:type="spellEnd"/>
      <w:r w:rsidRPr="007D6C2B">
        <w:t xml:space="preserve"> </w:t>
      </w:r>
      <w:proofErr w:type="spellStart"/>
      <w:r w:rsidRPr="007D6C2B">
        <w:t>zu</w:t>
      </w:r>
      <w:proofErr w:type="spellEnd"/>
      <w:r w:rsidRPr="007D6C2B">
        <w:t xml:space="preserve"> </w:t>
      </w:r>
      <w:proofErr w:type="spellStart"/>
      <w:r w:rsidRPr="007D6C2B">
        <w:t>vermeiden</w:t>
      </w:r>
      <w:proofErr w:type="spellEnd"/>
      <w:r w:rsidRPr="007D6C2B">
        <w:t xml:space="preserve">, die </w:t>
      </w:r>
      <w:proofErr w:type="spellStart"/>
      <w:r w:rsidRPr="007D6C2B">
        <w:t>sie</w:t>
      </w:r>
      <w:proofErr w:type="spellEnd"/>
      <w:r w:rsidRPr="007D6C2B">
        <w:t xml:space="preserve"> </w:t>
      </w:r>
      <w:proofErr w:type="spellStart"/>
      <w:r w:rsidRPr="007D6C2B">
        <w:t>nie</w:t>
      </w:r>
      <w:proofErr w:type="spellEnd"/>
      <w:r w:rsidRPr="007D6C2B">
        <w:t xml:space="preserve"> </w:t>
      </w:r>
      <w:proofErr w:type="spellStart"/>
      <w:r w:rsidRPr="007D6C2B">
        <w:t>getroffen</w:t>
      </w:r>
      <w:proofErr w:type="spellEnd"/>
      <w:r w:rsidRPr="007D6C2B">
        <w:t xml:space="preserve"> </w:t>
      </w:r>
      <w:proofErr w:type="spellStart"/>
      <w:r w:rsidRPr="007D6C2B">
        <w:t>haben</w:t>
      </w:r>
      <w:proofErr w:type="spellEnd"/>
      <w:r w:rsidRPr="007D6C2B">
        <w:t xml:space="preserve"> und </w:t>
      </w:r>
      <w:proofErr w:type="spellStart"/>
      <w:r w:rsidRPr="007D6C2B">
        <w:t>wahrscheinlich</w:t>
      </w:r>
      <w:proofErr w:type="spellEnd"/>
      <w:r w:rsidRPr="007D6C2B">
        <w:t xml:space="preserve"> </w:t>
      </w:r>
      <w:proofErr w:type="spellStart"/>
      <w:r w:rsidRPr="007D6C2B">
        <w:t>auch</w:t>
      </w:r>
      <w:proofErr w:type="spellEnd"/>
      <w:r w:rsidRPr="007D6C2B">
        <w:t xml:space="preserve"> </w:t>
      </w:r>
      <w:proofErr w:type="spellStart"/>
      <w:r w:rsidRPr="007D6C2B">
        <w:t>nie</w:t>
      </w:r>
      <w:proofErr w:type="spellEnd"/>
      <w:r w:rsidRPr="007D6C2B">
        <w:t xml:space="preserve"> </w:t>
      </w:r>
      <w:proofErr w:type="spellStart"/>
      <w:r w:rsidRPr="007D6C2B">
        <w:t>treffen</w:t>
      </w:r>
      <w:proofErr w:type="spellEnd"/>
      <w:r w:rsidRPr="007D6C2B">
        <w:t xml:space="preserve"> </w:t>
      </w:r>
      <w:proofErr w:type="spellStart"/>
      <w:r w:rsidRPr="007D6C2B">
        <w:t>werden</w:t>
      </w:r>
      <w:proofErr w:type="spellEnd"/>
      <w:r w:rsidRPr="007D6C2B">
        <w:t xml:space="preserve">. Das Management, das </w:t>
      </w:r>
      <w:proofErr w:type="spellStart"/>
      <w:r w:rsidRPr="007D6C2B">
        <w:t>eine</w:t>
      </w:r>
      <w:proofErr w:type="spellEnd"/>
      <w:r w:rsidRPr="007D6C2B">
        <w:t xml:space="preserve"> </w:t>
      </w:r>
      <w:proofErr w:type="spellStart"/>
      <w:r w:rsidRPr="007D6C2B">
        <w:t>Grenze</w:t>
      </w:r>
      <w:proofErr w:type="spellEnd"/>
      <w:r w:rsidRPr="007D6C2B">
        <w:t xml:space="preserve"> </w:t>
      </w:r>
      <w:proofErr w:type="spellStart"/>
      <w:r w:rsidRPr="007D6C2B">
        <w:t>zieht</w:t>
      </w:r>
      <w:proofErr w:type="spellEnd"/>
      <w:r w:rsidRPr="007D6C2B">
        <w:t xml:space="preserve"> </w:t>
      </w:r>
      <w:proofErr w:type="spellStart"/>
      <w:r w:rsidRPr="007D6C2B">
        <w:t>zwischen</w:t>
      </w:r>
      <w:proofErr w:type="spellEnd"/>
      <w:r w:rsidRPr="007D6C2B">
        <w:t xml:space="preserve"> Gruppen, die für das </w:t>
      </w:r>
      <w:proofErr w:type="spellStart"/>
      <w:r w:rsidRPr="007D6C2B">
        <w:t>Überleben</w:t>
      </w:r>
      <w:proofErr w:type="spellEnd"/>
      <w:r w:rsidRPr="007D6C2B">
        <w:t xml:space="preserve"> und den </w:t>
      </w:r>
      <w:proofErr w:type="spellStart"/>
      <w:r w:rsidRPr="007D6C2B">
        <w:t>Wohlstand</w:t>
      </w:r>
      <w:proofErr w:type="spellEnd"/>
      <w:r w:rsidRPr="007D6C2B">
        <w:t xml:space="preserve"> des </w:t>
      </w:r>
      <w:proofErr w:type="spellStart"/>
      <w:r w:rsidRPr="007D6C2B">
        <w:t>Unternehmens</w:t>
      </w:r>
      <w:proofErr w:type="spellEnd"/>
      <w:r w:rsidRPr="007D6C2B">
        <w:t xml:space="preserve"> </w:t>
      </w:r>
      <w:proofErr w:type="spellStart"/>
      <w:r w:rsidRPr="007D6C2B">
        <w:t>schützenswert</w:t>
      </w:r>
      <w:proofErr w:type="spellEnd"/>
      <w:r w:rsidRPr="007D6C2B">
        <w:t xml:space="preserve"> </w:t>
      </w:r>
      <w:proofErr w:type="spellStart"/>
      <w:r w:rsidRPr="007D6C2B">
        <w:t>sind</w:t>
      </w:r>
      <w:proofErr w:type="spellEnd"/>
      <w:r w:rsidRPr="007D6C2B">
        <w:t xml:space="preserve">, und </w:t>
      </w:r>
      <w:proofErr w:type="spellStart"/>
      <w:r w:rsidRPr="007D6C2B">
        <w:t>solchen</w:t>
      </w:r>
      <w:proofErr w:type="spellEnd"/>
      <w:r w:rsidRPr="007D6C2B">
        <w:t xml:space="preserve">, die es nicht </w:t>
      </w:r>
      <w:proofErr w:type="spellStart"/>
      <w:r w:rsidRPr="007D6C2B">
        <w:t>sind</w:t>
      </w:r>
      <w:proofErr w:type="spellEnd"/>
      <w:r w:rsidRPr="007D6C2B">
        <w:t xml:space="preserve">, und </w:t>
      </w:r>
      <w:proofErr w:type="spellStart"/>
      <w:r w:rsidRPr="007D6C2B">
        <w:t>sich</w:t>
      </w:r>
      <w:proofErr w:type="spellEnd"/>
      <w:r w:rsidRPr="007D6C2B">
        <w:t xml:space="preserve"> für den Schutz der </w:t>
      </w:r>
      <w:proofErr w:type="spellStart"/>
      <w:r w:rsidRPr="007D6C2B">
        <w:t>ersteren</w:t>
      </w:r>
      <w:proofErr w:type="spellEnd"/>
      <w:r w:rsidRPr="007D6C2B">
        <w:t xml:space="preserve"> </w:t>
      </w:r>
      <w:proofErr w:type="spellStart"/>
      <w:r w:rsidRPr="007D6C2B">
        <w:t>einsetzt</w:t>
      </w:r>
      <w:proofErr w:type="spellEnd"/>
      <w:r w:rsidRPr="007D6C2B">
        <w:t xml:space="preserve">. Die Logik der </w:t>
      </w:r>
      <w:proofErr w:type="spellStart"/>
      <w:r w:rsidR="006138A2" w:rsidRPr="006138A2">
        <w:rPr>
          <w:i/>
          <w:iCs/>
        </w:rPr>
        <w:t>Urtra</w:t>
      </w:r>
      <w:proofErr w:type="spellEnd"/>
      <w:r w:rsidR="006138A2" w:rsidRPr="006138A2">
        <w:rPr>
          <w:i/>
          <w:iCs/>
        </w:rPr>
        <w:t>-Society</w:t>
      </w:r>
      <w:r w:rsidR="006138A2" w:rsidRPr="00DE02A1">
        <w:rPr>
          <w:b/>
          <w:bCs/>
        </w:rPr>
        <w:t xml:space="preserve"> </w:t>
      </w:r>
      <w:proofErr w:type="spellStart"/>
      <w:r w:rsidR="006138A2" w:rsidRPr="007D6C2B">
        <w:t>sieht</w:t>
      </w:r>
      <w:proofErr w:type="spellEnd"/>
      <w:r w:rsidRPr="007D6C2B">
        <w:t xml:space="preserve"> die Macht des </w:t>
      </w:r>
      <w:proofErr w:type="spellStart"/>
      <w:r w:rsidRPr="007D6C2B">
        <w:t>Schutzes</w:t>
      </w:r>
      <w:proofErr w:type="spellEnd"/>
      <w:r w:rsidRPr="007D6C2B">
        <w:t xml:space="preserve"> immer </w:t>
      </w:r>
      <w:proofErr w:type="spellStart"/>
      <w:r w:rsidRPr="007D6C2B">
        <w:t>weiter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außen</w:t>
      </w:r>
      <w:proofErr w:type="spellEnd"/>
      <w:r w:rsidRPr="007D6C2B">
        <w:t xml:space="preserve"> </w:t>
      </w:r>
      <w:proofErr w:type="spellStart"/>
      <w:r w:rsidRPr="007D6C2B">
        <w:t>expandieren</w:t>
      </w:r>
      <w:proofErr w:type="spellEnd"/>
      <w:r w:rsidRPr="007D6C2B">
        <w:t>. Die Logik des „</w:t>
      </w:r>
      <w:proofErr w:type="spellStart"/>
      <w:r w:rsidRPr="007D6C2B">
        <w:t>Hauses</w:t>
      </w:r>
      <w:proofErr w:type="spellEnd"/>
      <w:r w:rsidRPr="007D6C2B">
        <w:t xml:space="preserve">” </w:t>
      </w:r>
      <w:proofErr w:type="spellStart"/>
      <w:r w:rsidRPr="007D6C2B">
        <w:t>lenkt</w:t>
      </w:r>
      <w:proofErr w:type="spellEnd"/>
      <w:r w:rsidRPr="007D6C2B">
        <w:t xml:space="preserve"> die </w:t>
      </w:r>
      <w:proofErr w:type="spellStart"/>
      <w:r w:rsidRPr="007D6C2B">
        <w:t>Schutzwirkung</w:t>
      </w:r>
      <w:proofErr w:type="spellEnd"/>
      <w:r w:rsidRPr="007D6C2B">
        <w:t xml:space="preserve"> </w:t>
      </w:r>
      <w:proofErr w:type="spellStart"/>
      <w:r w:rsidRPr="007D6C2B">
        <w:t>nach</w:t>
      </w:r>
      <w:proofErr w:type="spellEnd"/>
      <w:r w:rsidRPr="007D6C2B">
        <w:t xml:space="preserve"> </w:t>
      </w:r>
      <w:proofErr w:type="spellStart"/>
      <w:r w:rsidRPr="007D6C2B">
        <w:t>innen</w:t>
      </w:r>
      <w:proofErr w:type="spellEnd"/>
      <w:r w:rsidRPr="007D6C2B">
        <w:t xml:space="preserve">, </w:t>
      </w:r>
      <w:proofErr w:type="spellStart"/>
      <w:r w:rsidRPr="007D6C2B">
        <w:t>tiefer</w:t>
      </w:r>
      <w:proofErr w:type="spellEnd"/>
      <w:r w:rsidRPr="007D6C2B">
        <w:t xml:space="preserve"> in das </w:t>
      </w:r>
      <w:proofErr w:type="spellStart"/>
      <w:r w:rsidRPr="007D6C2B">
        <w:t>Unternehmen</w:t>
      </w:r>
      <w:proofErr w:type="spellEnd"/>
      <w:r w:rsidRPr="007D6C2B">
        <w:t xml:space="preserve"> </w:t>
      </w:r>
      <w:proofErr w:type="spellStart"/>
      <w:r w:rsidRPr="007D6C2B">
        <w:t>hinein</w:t>
      </w:r>
      <w:proofErr w:type="spellEnd"/>
      <w:r w:rsidRPr="007D6C2B">
        <w:t xml:space="preserve">. Anhand </w:t>
      </w:r>
      <w:proofErr w:type="spellStart"/>
      <w:r w:rsidRPr="007D6C2B">
        <w:t>dieser</w:t>
      </w:r>
      <w:proofErr w:type="spellEnd"/>
      <w:r w:rsidRPr="007D6C2B">
        <w:t xml:space="preserve"> diametral </w:t>
      </w:r>
      <w:proofErr w:type="spellStart"/>
      <w:r w:rsidRPr="007D6C2B">
        <w:t>entgegengesetzten</w:t>
      </w:r>
      <w:proofErr w:type="spellEnd"/>
      <w:r w:rsidRPr="007D6C2B">
        <w:t xml:space="preserve"> </w:t>
      </w:r>
      <w:proofErr w:type="spellStart"/>
      <w:r w:rsidRPr="007D6C2B">
        <w:t>Logiken</w:t>
      </w:r>
      <w:proofErr w:type="spellEnd"/>
      <w:r w:rsidRPr="007D6C2B">
        <w:t xml:space="preserve"> </w:t>
      </w:r>
      <w:proofErr w:type="spellStart"/>
      <w:r w:rsidRPr="007D6C2B">
        <w:t>möchte</w:t>
      </w:r>
      <w:proofErr w:type="spellEnd"/>
      <w:r w:rsidRPr="007D6C2B">
        <w:t xml:space="preserve"> ich die </w:t>
      </w:r>
      <w:proofErr w:type="spellStart"/>
      <w:r w:rsidRPr="007D6C2B">
        <w:t>Prinzipien</w:t>
      </w:r>
      <w:proofErr w:type="spellEnd"/>
      <w:r w:rsidRPr="007D6C2B">
        <w:t xml:space="preserve"> </w:t>
      </w:r>
      <w:proofErr w:type="spellStart"/>
      <w:r w:rsidRPr="007D6C2B">
        <w:t>untersuchen</w:t>
      </w:r>
      <w:proofErr w:type="spellEnd"/>
      <w:r w:rsidRPr="007D6C2B">
        <w:t xml:space="preserve">, die das </w:t>
      </w:r>
      <w:proofErr w:type="spellStart"/>
      <w:r w:rsidRPr="007D6C2B">
        <w:t>Handeln</w:t>
      </w:r>
      <w:proofErr w:type="spellEnd"/>
      <w:r w:rsidRPr="007D6C2B">
        <w:t xml:space="preserve"> von </w:t>
      </w:r>
      <w:proofErr w:type="spellStart"/>
      <w:r w:rsidRPr="007D6C2B">
        <w:t>Arbeitnehmern</w:t>
      </w:r>
      <w:proofErr w:type="spellEnd"/>
      <w:r w:rsidRPr="007D6C2B">
        <w:t xml:space="preserve"> und Management </w:t>
      </w:r>
      <w:proofErr w:type="spellStart"/>
      <w:r w:rsidRPr="007D6C2B">
        <w:t>bestimmen</w:t>
      </w:r>
      <w:proofErr w:type="spellEnd"/>
      <w:r w:rsidRPr="007D6C2B">
        <w:t>.</w:t>
      </w:r>
    </w:p>
    <w:p w14:paraId="03F8C8FC" w14:textId="77777777" w:rsidR="00A511FD" w:rsidRPr="007D6C2B" w:rsidRDefault="00A511FD" w:rsidP="007D6C2B"/>
    <w:p w14:paraId="7A431F05" w14:textId="77777777" w:rsidR="00B46418" w:rsidRPr="006138A2" w:rsidRDefault="00B46418" w:rsidP="00943F1C"/>
    <w:p w14:paraId="7C09FAD9" w14:textId="77777777" w:rsidR="00A144A1" w:rsidRPr="006138A2" w:rsidRDefault="00A144A1" w:rsidP="00A144A1">
      <w:pPr>
        <w:rPr>
          <w:b/>
          <w:bCs/>
        </w:rPr>
      </w:pPr>
      <w:proofErr w:type="spellStart"/>
      <w:r w:rsidRPr="006138A2">
        <w:rPr>
          <w:b/>
          <w:bCs/>
        </w:rPr>
        <w:t>Referenzen</w:t>
      </w:r>
      <w:proofErr w:type="spellEnd"/>
    </w:p>
    <w:p w14:paraId="25E956BD" w14:textId="77777777" w:rsidR="00A144A1" w:rsidRPr="00757D2B" w:rsidRDefault="00A144A1" w:rsidP="00A511FD">
      <w:pPr>
        <w:ind w:left="315" w:hangingChars="150" w:hanging="315"/>
      </w:pPr>
      <w:r w:rsidRPr="00757D2B">
        <w:t xml:space="preserve">Heath, Joseph (2008). </w:t>
      </w:r>
      <w:r w:rsidRPr="00757D2B">
        <w:rPr>
          <w:i/>
          <w:iCs/>
        </w:rPr>
        <w:t>Following the Rules: Practical Reasoning and Deontic Constraint.,</w:t>
      </w:r>
      <w:r w:rsidRPr="00757D2B">
        <w:t xml:space="preserve"> Oxford University Press.</w:t>
      </w:r>
    </w:p>
    <w:p w14:paraId="03B1468A" w14:textId="77777777" w:rsidR="00A144A1" w:rsidRPr="00757D2B" w:rsidRDefault="00A144A1" w:rsidP="00A511FD">
      <w:pPr>
        <w:ind w:left="315" w:hangingChars="150" w:hanging="315"/>
      </w:pPr>
      <w:r w:rsidRPr="00757D2B">
        <w:t>Hirasawa</w:t>
      </w:r>
      <w:r w:rsidR="00757D2B">
        <w:rPr>
          <w:rFonts w:hint="eastAsia"/>
        </w:rPr>
        <w:t>, Junko</w:t>
      </w:r>
      <w:r w:rsidRPr="00757D2B">
        <w:t xml:space="preserve"> (2005). „Eine </w:t>
      </w:r>
      <w:proofErr w:type="spellStart"/>
      <w:r w:rsidRPr="00757D2B">
        <w:t>Umfrage</w:t>
      </w:r>
      <w:proofErr w:type="spellEnd"/>
      <w:r w:rsidRPr="00757D2B">
        <w:t xml:space="preserve"> </w:t>
      </w:r>
      <w:proofErr w:type="spellStart"/>
      <w:r w:rsidRPr="00757D2B">
        <w:t>zur</w:t>
      </w:r>
      <w:proofErr w:type="spellEnd"/>
      <w:r w:rsidRPr="00757D2B">
        <w:t xml:space="preserve"> Situation der </w:t>
      </w:r>
      <w:proofErr w:type="spellStart"/>
      <w:r w:rsidRPr="00757D2B">
        <w:t>Wiedereinstellung</w:t>
      </w:r>
      <w:proofErr w:type="spellEnd"/>
      <w:r w:rsidRPr="00757D2B">
        <w:t xml:space="preserve"> in die </w:t>
      </w:r>
      <w:proofErr w:type="spellStart"/>
      <w:r w:rsidRPr="00757D2B">
        <w:t>ursprüngliche</w:t>
      </w:r>
      <w:proofErr w:type="spellEnd"/>
      <w:r w:rsidRPr="00757D2B">
        <w:t xml:space="preserve"> Position </w:t>
      </w:r>
      <w:proofErr w:type="spellStart"/>
      <w:r w:rsidRPr="00757D2B">
        <w:t>nach</w:t>
      </w:r>
      <w:proofErr w:type="spellEnd"/>
      <w:r w:rsidRPr="00757D2B">
        <w:t xml:space="preserve"> </w:t>
      </w:r>
      <w:proofErr w:type="spellStart"/>
      <w:r w:rsidRPr="00757D2B">
        <w:t>Urteilen</w:t>
      </w:r>
      <w:proofErr w:type="spellEnd"/>
      <w:r w:rsidRPr="00757D2B">
        <w:t xml:space="preserve">, die </w:t>
      </w:r>
      <w:proofErr w:type="spellStart"/>
      <w:r w:rsidRPr="00757D2B">
        <w:t>Entlassungen</w:t>
      </w:r>
      <w:proofErr w:type="spellEnd"/>
      <w:r w:rsidRPr="00757D2B">
        <w:t xml:space="preserve"> für </w:t>
      </w:r>
      <w:proofErr w:type="spellStart"/>
      <w:r w:rsidRPr="00757D2B">
        <w:t>ungültig</w:t>
      </w:r>
      <w:proofErr w:type="spellEnd"/>
      <w:r w:rsidRPr="00757D2B">
        <w:t xml:space="preserve"> </w:t>
      </w:r>
      <w:proofErr w:type="spellStart"/>
      <w:r w:rsidRPr="00757D2B">
        <w:t>erklären</w:t>
      </w:r>
      <w:proofErr w:type="spellEnd"/>
      <w:r w:rsidRPr="00757D2B">
        <w:t xml:space="preserve">”. </w:t>
      </w:r>
      <w:proofErr w:type="spellStart"/>
      <w:r w:rsidRPr="00757D2B">
        <w:t>Institut</w:t>
      </w:r>
      <w:proofErr w:type="spellEnd"/>
      <w:r w:rsidRPr="00757D2B">
        <w:t xml:space="preserve"> für </w:t>
      </w:r>
      <w:proofErr w:type="spellStart"/>
      <w:r w:rsidRPr="00757D2B">
        <w:t>Arbeitspolitikforschung</w:t>
      </w:r>
      <w:proofErr w:type="spellEnd"/>
      <w:r w:rsidRPr="00757D2B">
        <w:t xml:space="preserve"> und -</w:t>
      </w:r>
      <w:proofErr w:type="spellStart"/>
      <w:r w:rsidRPr="00757D2B">
        <w:t>ausbildung</w:t>
      </w:r>
      <w:proofErr w:type="spellEnd"/>
      <w:r w:rsidRPr="00757D2B">
        <w:t>.</w:t>
      </w:r>
    </w:p>
    <w:p w14:paraId="42EBC040" w14:textId="77777777" w:rsidR="00A144A1" w:rsidRPr="00757D2B" w:rsidRDefault="008A1BC7" w:rsidP="008A1BC7">
      <w:pPr>
        <w:ind w:left="315" w:hangingChars="150" w:hanging="315"/>
      </w:pPr>
      <w:r>
        <w:rPr>
          <w:rFonts w:hint="eastAsia"/>
        </w:rPr>
        <w:t xml:space="preserve">Ikeuchi, </w:t>
      </w:r>
      <w:r w:rsidR="00A144A1" w:rsidRPr="00757D2B">
        <w:t xml:space="preserve">Hidemi (2019). „Wie man </w:t>
      </w:r>
      <w:proofErr w:type="spellStart"/>
      <w:r w:rsidR="00A144A1" w:rsidRPr="00757D2B">
        <w:t>japanisches</w:t>
      </w:r>
      <w:proofErr w:type="spellEnd"/>
      <w:r w:rsidR="00A144A1" w:rsidRPr="00757D2B">
        <w:t xml:space="preserve"> Management </w:t>
      </w:r>
      <w:proofErr w:type="spellStart"/>
      <w:r w:rsidR="00A144A1" w:rsidRPr="00757D2B">
        <w:t>versteht</w:t>
      </w:r>
      <w:proofErr w:type="spellEnd"/>
      <w:r w:rsidR="00A144A1" w:rsidRPr="00757D2B">
        <w:t xml:space="preserve">”. In: The Japanese Management </w:t>
      </w:r>
      <w:r w:rsidR="00A144A1" w:rsidRPr="00757D2B">
        <w:lastRenderedPageBreak/>
        <w:t>Society (</w:t>
      </w:r>
      <w:proofErr w:type="spellStart"/>
      <w:r w:rsidR="00A144A1" w:rsidRPr="00757D2B">
        <w:t>Hrsg</w:t>
      </w:r>
      <w:proofErr w:type="spellEnd"/>
      <w:r w:rsidR="00A144A1" w:rsidRPr="00757D2B">
        <w:t>.), Management Studies Collection Vol. 89: „The Present State of Japanese Management”, S. 6–18.</w:t>
      </w:r>
    </w:p>
    <w:p w14:paraId="693B1FDA" w14:textId="77777777" w:rsidR="00A144A1" w:rsidRPr="00757D2B" w:rsidRDefault="00A144A1" w:rsidP="00A511FD">
      <w:pPr>
        <w:ind w:left="315" w:hangingChars="150" w:hanging="315"/>
      </w:pPr>
      <w:proofErr w:type="spellStart"/>
      <w:r w:rsidRPr="00757D2B">
        <w:t>Kambayashi</w:t>
      </w:r>
      <w:proofErr w:type="spellEnd"/>
      <w:r w:rsidRPr="00757D2B">
        <w:t>, Ry</w:t>
      </w:r>
      <w:r w:rsidR="00757D2B">
        <w:rPr>
          <w:rFonts w:hint="eastAsia"/>
        </w:rPr>
        <w:t>o</w:t>
      </w:r>
      <w:r w:rsidRPr="00757D2B">
        <w:t xml:space="preserve"> und Hirasawa</w:t>
      </w:r>
      <w:r w:rsidR="00757D2B">
        <w:rPr>
          <w:rFonts w:hint="eastAsia"/>
        </w:rPr>
        <w:t>, Junko</w:t>
      </w:r>
      <w:r w:rsidRPr="00757D2B">
        <w:t xml:space="preserve"> (2008). „Ein Fall von </w:t>
      </w:r>
      <w:proofErr w:type="spellStart"/>
      <w:r w:rsidRPr="00757D2B">
        <w:t>Entlassung</w:t>
      </w:r>
      <w:proofErr w:type="spellEnd"/>
      <w:r w:rsidRPr="00757D2B">
        <w:t xml:space="preserve"> </w:t>
      </w:r>
      <w:proofErr w:type="spellStart"/>
      <w:r w:rsidRPr="00757D2B">
        <w:t>aufgrund</w:t>
      </w:r>
      <w:proofErr w:type="spellEnd"/>
      <w:r w:rsidRPr="00757D2B">
        <w:t xml:space="preserve"> von </w:t>
      </w:r>
      <w:proofErr w:type="spellStart"/>
      <w:r w:rsidRPr="00757D2B">
        <w:t>Personalabbau</w:t>
      </w:r>
      <w:proofErr w:type="spellEnd"/>
      <w:r w:rsidRPr="00757D2B">
        <w:t>”. In Ryū Kambayashi (</w:t>
      </w:r>
      <w:proofErr w:type="spellStart"/>
      <w:r w:rsidRPr="00757D2B">
        <w:t>Hrsg</w:t>
      </w:r>
      <w:proofErr w:type="spellEnd"/>
      <w:r w:rsidRPr="00757D2B">
        <w:t xml:space="preserve">.), Recht und </w:t>
      </w:r>
      <w:proofErr w:type="spellStart"/>
      <w:r w:rsidRPr="00757D2B">
        <w:t>Wirtschaft</w:t>
      </w:r>
      <w:proofErr w:type="spellEnd"/>
      <w:r w:rsidRPr="00757D2B">
        <w:t xml:space="preserve"> der </w:t>
      </w:r>
      <w:proofErr w:type="spellStart"/>
      <w:r w:rsidRPr="00757D2B">
        <w:t>Kündigungsregulierung</w:t>
      </w:r>
      <w:proofErr w:type="spellEnd"/>
      <w:r w:rsidRPr="00757D2B">
        <w:t xml:space="preserve">: </w:t>
      </w:r>
      <w:proofErr w:type="spellStart"/>
      <w:r w:rsidRPr="00757D2B">
        <w:t>Kündigungsregeln</w:t>
      </w:r>
      <w:proofErr w:type="spellEnd"/>
      <w:r w:rsidRPr="00757D2B">
        <w:t xml:space="preserve"> </w:t>
      </w:r>
      <w:proofErr w:type="spellStart"/>
      <w:r w:rsidRPr="00757D2B">
        <w:t>als</w:t>
      </w:r>
      <w:proofErr w:type="spellEnd"/>
      <w:r w:rsidRPr="00757D2B">
        <w:t xml:space="preserve"> </w:t>
      </w:r>
      <w:proofErr w:type="spellStart"/>
      <w:r w:rsidRPr="00757D2B">
        <w:t>Mechanismus</w:t>
      </w:r>
      <w:proofErr w:type="spellEnd"/>
      <w:r w:rsidRPr="00757D2B">
        <w:t xml:space="preserve"> </w:t>
      </w:r>
      <w:proofErr w:type="spellStart"/>
      <w:r w:rsidRPr="00757D2B">
        <w:t>zur</w:t>
      </w:r>
      <w:proofErr w:type="spellEnd"/>
      <w:r w:rsidRPr="00757D2B">
        <w:t xml:space="preserve"> </w:t>
      </w:r>
      <w:proofErr w:type="spellStart"/>
      <w:r w:rsidRPr="00757D2B">
        <w:t>Konsensbildung</w:t>
      </w:r>
      <w:proofErr w:type="spellEnd"/>
      <w:r w:rsidRPr="00757D2B">
        <w:t xml:space="preserve"> </w:t>
      </w:r>
      <w:proofErr w:type="spellStart"/>
      <w:r w:rsidRPr="00757D2B">
        <w:t>zwischen</w:t>
      </w:r>
      <w:proofErr w:type="spellEnd"/>
      <w:r w:rsidRPr="00757D2B">
        <w:t xml:space="preserve"> </w:t>
      </w:r>
      <w:proofErr w:type="spellStart"/>
      <w:r w:rsidRPr="00757D2B">
        <w:t>Arbeitgebern</w:t>
      </w:r>
      <w:proofErr w:type="spellEnd"/>
      <w:r w:rsidRPr="00757D2B">
        <w:t xml:space="preserve"> und </w:t>
      </w:r>
      <w:proofErr w:type="spellStart"/>
      <w:r w:rsidRPr="00757D2B">
        <w:t>Arbeitnehmern</w:t>
      </w:r>
      <w:proofErr w:type="spellEnd"/>
      <w:r w:rsidRPr="00757D2B">
        <w:t xml:space="preserve">. Nippon </w:t>
      </w:r>
      <w:proofErr w:type="spellStart"/>
      <w:r w:rsidRPr="00757D2B">
        <w:t>Hyoronsha</w:t>
      </w:r>
      <w:proofErr w:type="spellEnd"/>
      <w:r w:rsidRPr="00757D2B">
        <w:t>, S. 31–52.</w:t>
      </w:r>
    </w:p>
    <w:p w14:paraId="1C41EEC6" w14:textId="77777777" w:rsidR="00A144A1" w:rsidRPr="00757D2B" w:rsidRDefault="00A144A1" w:rsidP="00A511FD">
      <w:pPr>
        <w:ind w:left="315" w:hangingChars="150" w:hanging="315"/>
      </w:pPr>
      <w:proofErr w:type="spellStart"/>
      <w:r w:rsidRPr="00757D2B">
        <w:t>Kambayashi</w:t>
      </w:r>
      <w:proofErr w:type="spellEnd"/>
      <w:r w:rsidRPr="00757D2B">
        <w:t>, Ry</w:t>
      </w:r>
      <w:r w:rsidR="00757D2B">
        <w:rPr>
          <w:rFonts w:hint="eastAsia"/>
        </w:rPr>
        <w:t>o</w:t>
      </w:r>
      <w:r w:rsidRPr="00757D2B">
        <w:t xml:space="preserve"> und Hirasawa, Junko (2008) „</w:t>
      </w:r>
      <w:proofErr w:type="spellStart"/>
      <w:r w:rsidRPr="00757D2B">
        <w:t>Restrukturierungsentlassungsfälle</w:t>
      </w:r>
      <w:proofErr w:type="spellEnd"/>
      <w:r w:rsidRPr="00757D2B">
        <w:t xml:space="preserve"> in der </w:t>
      </w:r>
      <w:proofErr w:type="spellStart"/>
      <w:r w:rsidRPr="00757D2B">
        <w:t>Rechtsprechung</w:t>
      </w:r>
      <w:proofErr w:type="spellEnd"/>
      <w:r w:rsidRPr="00757D2B">
        <w:t xml:space="preserve">”, in </w:t>
      </w:r>
      <w:proofErr w:type="spellStart"/>
      <w:r w:rsidRPr="00757D2B">
        <w:t>Kambayashi</w:t>
      </w:r>
      <w:proofErr w:type="spellEnd"/>
      <w:r w:rsidRPr="00757D2B">
        <w:t>, Ry</w:t>
      </w:r>
      <w:r w:rsidR="00757D2B">
        <w:rPr>
          <w:rFonts w:hint="eastAsia"/>
        </w:rPr>
        <w:t>o</w:t>
      </w:r>
      <w:r w:rsidRPr="00757D2B">
        <w:t xml:space="preserve"> (</w:t>
      </w:r>
      <w:proofErr w:type="spellStart"/>
      <w:r w:rsidRPr="00757D2B">
        <w:t>Hrsg</w:t>
      </w:r>
      <w:proofErr w:type="spellEnd"/>
      <w:r w:rsidRPr="00757D2B">
        <w:t xml:space="preserve">.), Recht und </w:t>
      </w:r>
      <w:proofErr w:type="spellStart"/>
      <w:r w:rsidRPr="00757D2B">
        <w:t>Ökonomie</w:t>
      </w:r>
      <w:proofErr w:type="spellEnd"/>
      <w:r w:rsidRPr="00757D2B">
        <w:t xml:space="preserve"> der </w:t>
      </w:r>
      <w:proofErr w:type="spellStart"/>
      <w:r w:rsidRPr="00757D2B">
        <w:t>Kündigungsregulierung</w:t>
      </w:r>
      <w:proofErr w:type="spellEnd"/>
      <w:r w:rsidRPr="00757D2B">
        <w:t xml:space="preserve">: </w:t>
      </w:r>
      <w:proofErr w:type="spellStart"/>
      <w:r w:rsidRPr="00757D2B">
        <w:t>Kündigungsregeln</w:t>
      </w:r>
      <w:proofErr w:type="spellEnd"/>
      <w:r w:rsidRPr="00757D2B">
        <w:t xml:space="preserve"> </w:t>
      </w:r>
      <w:proofErr w:type="spellStart"/>
      <w:r w:rsidRPr="00757D2B">
        <w:t>als</w:t>
      </w:r>
      <w:proofErr w:type="spellEnd"/>
      <w:r w:rsidRPr="00757D2B">
        <w:t xml:space="preserve"> </w:t>
      </w:r>
      <w:proofErr w:type="spellStart"/>
      <w:r w:rsidRPr="00757D2B">
        <w:t>Mechanismus</w:t>
      </w:r>
      <w:proofErr w:type="spellEnd"/>
      <w:r w:rsidRPr="00757D2B">
        <w:t xml:space="preserve"> </w:t>
      </w:r>
      <w:proofErr w:type="spellStart"/>
      <w:r w:rsidRPr="00757D2B">
        <w:t>zur</w:t>
      </w:r>
      <w:proofErr w:type="spellEnd"/>
      <w:r w:rsidRPr="00757D2B">
        <w:t xml:space="preserve"> </w:t>
      </w:r>
      <w:proofErr w:type="spellStart"/>
      <w:r w:rsidRPr="00757D2B">
        <w:t>Konsensbildung</w:t>
      </w:r>
      <w:proofErr w:type="spellEnd"/>
      <w:r w:rsidRPr="00757D2B">
        <w:t xml:space="preserve"> </w:t>
      </w:r>
      <w:proofErr w:type="spellStart"/>
      <w:r w:rsidRPr="00757D2B">
        <w:t>zwischen</w:t>
      </w:r>
      <w:proofErr w:type="spellEnd"/>
      <w:r w:rsidRPr="00757D2B">
        <w:t xml:space="preserve"> </w:t>
      </w:r>
      <w:proofErr w:type="spellStart"/>
      <w:r w:rsidRPr="00757D2B">
        <w:t>Arbeitgebern</w:t>
      </w:r>
      <w:proofErr w:type="spellEnd"/>
      <w:r w:rsidRPr="00757D2B">
        <w:t xml:space="preserve"> und </w:t>
      </w:r>
      <w:proofErr w:type="spellStart"/>
      <w:r w:rsidRPr="00757D2B">
        <w:t>Arbeitnehmern</w:t>
      </w:r>
      <w:proofErr w:type="spellEnd"/>
      <w:r w:rsidRPr="00757D2B">
        <w:t xml:space="preserve">, Nihon </w:t>
      </w:r>
      <w:proofErr w:type="spellStart"/>
      <w:r w:rsidRPr="00757D2B">
        <w:t>Hyoronsha</w:t>
      </w:r>
      <w:proofErr w:type="spellEnd"/>
      <w:r w:rsidRPr="00757D2B">
        <w:t>, S. 53–115.</w:t>
      </w:r>
    </w:p>
    <w:p w14:paraId="2871F015" w14:textId="77777777" w:rsidR="00A144A1" w:rsidRPr="00757D2B" w:rsidRDefault="00A144A1" w:rsidP="00A144A1">
      <w:r w:rsidRPr="00757D2B">
        <w:t xml:space="preserve">Mito, </w:t>
      </w:r>
      <w:r w:rsidR="00757D2B">
        <w:rPr>
          <w:rFonts w:hint="eastAsia"/>
        </w:rPr>
        <w:t>Tadashi</w:t>
      </w:r>
      <w:r w:rsidRPr="00757D2B">
        <w:t xml:space="preserve"> (1991). Die Logik des </w:t>
      </w:r>
      <w:proofErr w:type="spellStart"/>
      <w:r w:rsidRPr="00757D2B">
        <w:t>Zuhauses</w:t>
      </w:r>
      <w:proofErr w:type="spellEnd"/>
      <w:r w:rsidRPr="00757D2B">
        <w:t xml:space="preserve"> 1. </w:t>
      </w:r>
      <w:proofErr w:type="spellStart"/>
      <w:r w:rsidRPr="00757D2B">
        <w:t>Bunshindō</w:t>
      </w:r>
      <w:proofErr w:type="spellEnd"/>
      <w:r w:rsidRPr="00757D2B">
        <w:t>.</w:t>
      </w:r>
    </w:p>
    <w:p w14:paraId="36141A6A" w14:textId="77777777" w:rsidR="00A144A1" w:rsidRPr="00757D2B" w:rsidRDefault="00A144A1" w:rsidP="00A144A1">
      <w:r w:rsidRPr="00757D2B">
        <w:t xml:space="preserve">Mito, </w:t>
      </w:r>
      <w:r w:rsidR="00757D2B">
        <w:rPr>
          <w:rFonts w:hint="eastAsia"/>
        </w:rPr>
        <w:t>Tadashi</w:t>
      </w:r>
      <w:r w:rsidRPr="00757D2B">
        <w:t xml:space="preserve"> (1991). Die Logik des </w:t>
      </w:r>
      <w:proofErr w:type="spellStart"/>
      <w:r w:rsidRPr="00757D2B">
        <w:t>Zuhauses</w:t>
      </w:r>
      <w:proofErr w:type="spellEnd"/>
      <w:r w:rsidRPr="00757D2B">
        <w:t xml:space="preserve"> 2. </w:t>
      </w:r>
      <w:proofErr w:type="spellStart"/>
      <w:r w:rsidRPr="00757D2B">
        <w:t>Bunshindō</w:t>
      </w:r>
      <w:proofErr w:type="spellEnd"/>
      <w:r w:rsidRPr="00757D2B">
        <w:t>.</w:t>
      </w:r>
    </w:p>
    <w:p w14:paraId="3C46249B" w14:textId="77777777" w:rsidR="00CF2D66" w:rsidRPr="00A91C82" w:rsidRDefault="00CF2D66" w:rsidP="00943F1C">
      <w:pPr>
        <w:rPr>
          <w:b/>
          <w:bCs/>
        </w:rPr>
      </w:pPr>
    </w:p>
    <w:p w14:paraId="69F72ED0" w14:textId="77777777" w:rsidR="00F11B2D" w:rsidRPr="00F11B2D" w:rsidRDefault="00F11B2D" w:rsidP="00943F1C"/>
    <w:sectPr w:rsidR="00F11B2D" w:rsidRPr="00F11B2D" w:rsidSect="00741F7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0D85" w14:textId="77777777" w:rsidR="00DD1DED" w:rsidRDefault="00DD1DED" w:rsidP="006900C3">
      <w:r>
        <w:separator/>
      </w:r>
    </w:p>
  </w:endnote>
  <w:endnote w:type="continuationSeparator" w:id="0">
    <w:p w14:paraId="6D5C5C46" w14:textId="77777777" w:rsidR="00DD1DED" w:rsidRDefault="00DD1DED" w:rsidP="006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22323118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F88C5F9" w14:textId="77777777" w:rsidR="00077F04" w:rsidRDefault="00077F04">
        <w:pPr>
          <w:pStyle w:val="Fuzeile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 w:rsidR="00DD0F58">
          <w:rPr>
            <w:rFonts w:cs="Times New Roman"/>
            <w:sz w:val="22"/>
          </w:rPr>
          <w:fldChar w:fldCharType="begin"/>
        </w:r>
        <w:r>
          <w:instrText>PAGE    \* MERGEFORMAT</w:instrText>
        </w:r>
        <w:r w:rsidR="00DD0F58">
          <w:rPr>
            <w:rFonts w:cs="Times New Roman"/>
            <w:sz w:val="22"/>
          </w:rPr>
          <w:fldChar w:fldCharType="separate"/>
        </w:r>
        <w:r w:rsidR="000A4E67" w:rsidRPr="000A4E67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10</w:t>
        </w:r>
        <w:r w:rsidR="00DD0F5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D1F983C" w14:textId="77777777" w:rsidR="00077F04" w:rsidRDefault="00077F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4BFE" w14:textId="77777777" w:rsidR="00DD1DED" w:rsidRDefault="00DD1DED" w:rsidP="006900C3">
      <w:r>
        <w:separator/>
      </w:r>
    </w:p>
  </w:footnote>
  <w:footnote w:type="continuationSeparator" w:id="0">
    <w:p w14:paraId="3EC05189" w14:textId="77777777" w:rsidR="00DD1DED" w:rsidRDefault="00DD1DED" w:rsidP="0069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DA9"/>
    <w:multiLevelType w:val="hybridMultilevel"/>
    <w:tmpl w:val="64EE971A"/>
    <w:lvl w:ilvl="0" w:tplc="3502D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5E18A7"/>
    <w:multiLevelType w:val="hybridMultilevel"/>
    <w:tmpl w:val="FA4013FE"/>
    <w:lvl w:ilvl="0" w:tplc="2F089544">
      <w:numFmt w:val="bullet"/>
      <w:lvlText w:val="・"/>
      <w:lvlJc w:val="left"/>
      <w:pPr>
        <w:ind w:left="564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92869388">
    <w:abstractNumId w:val="0"/>
  </w:num>
  <w:num w:numId="2" w16cid:durableId="210510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BA"/>
    <w:rsid w:val="00046BCB"/>
    <w:rsid w:val="00077F04"/>
    <w:rsid w:val="00077F6F"/>
    <w:rsid w:val="000A4E67"/>
    <w:rsid w:val="0011264C"/>
    <w:rsid w:val="00141031"/>
    <w:rsid w:val="001466F1"/>
    <w:rsid w:val="001929EE"/>
    <w:rsid w:val="00203741"/>
    <w:rsid w:val="002051B4"/>
    <w:rsid w:val="002133B1"/>
    <w:rsid w:val="00264CA7"/>
    <w:rsid w:val="00295EBC"/>
    <w:rsid w:val="002D2FB0"/>
    <w:rsid w:val="002D3E1A"/>
    <w:rsid w:val="002F7561"/>
    <w:rsid w:val="00305F8C"/>
    <w:rsid w:val="00307B22"/>
    <w:rsid w:val="0031272D"/>
    <w:rsid w:val="00350828"/>
    <w:rsid w:val="00365D80"/>
    <w:rsid w:val="003A57A3"/>
    <w:rsid w:val="003B1093"/>
    <w:rsid w:val="004639BC"/>
    <w:rsid w:val="004845F7"/>
    <w:rsid w:val="004B2FDD"/>
    <w:rsid w:val="004B56E7"/>
    <w:rsid w:val="004B6644"/>
    <w:rsid w:val="004D1780"/>
    <w:rsid w:val="004D64D0"/>
    <w:rsid w:val="004E58C7"/>
    <w:rsid w:val="00545E54"/>
    <w:rsid w:val="00594CB9"/>
    <w:rsid w:val="00601B57"/>
    <w:rsid w:val="00613808"/>
    <w:rsid w:val="006138A2"/>
    <w:rsid w:val="0062605F"/>
    <w:rsid w:val="006530BA"/>
    <w:rsid w:val="006731A9"/>
    <w:rsid w:val="006900C3"/>
    <w:rsid w:val="0069716F"/>
    <w:rsid w:val="006A6D42"/>
    <w:rsid w:val="006B0CB7"/>
    <w:rsid w:val="006B158C"/>
    <w:rsid w:val="006D7EFC"/>
    <w:rsid w:val="007001FF"/>
    <w:rsid w:val="007129D5"/>
    <w:rsid w:val="00715E4B"/>
    <w:rsid w:val="007175B0"/>
    <w:rsid w:val="0072184A"/>
    <w:rsid w:val="00741F7D"/>
    <w:rsid w:val="00757D2B"/>
    <w:rsid w:val="00770C5F"/>
    <w:rsid w:val="007D554C"/>
    <w:rsid w:val="007D6C2B"/>
    <w:rsid w:val="007E2EEF"/>
    <w:rsid w:val="00830E68"/>
    <w:rsid w:val="00834FBE"/>
    <w:rsid w:val="00851F58"/>
    <w:rsid w:val="008A1BC7"/>
    <w:rsid w:val="008F3BFD"/>
    <w:rsid w:val="0093483C"/>
    <w:rsid w:val="00943F1C"/>
    <w:rsid w:val="0094741D"/>
    <w:rsid w:val="00986CF5"/>
    <w:rsid w:val="009929FF"/>
    <w:rsid w:val="00994AB2"/>
    <w:rsid w:val="009C0839"/>
    <w:rsid w:val="009C5A4D"/>
    <w:rsid w:val="009D7496"/>
    <w:rsid w:val="009E6F87"/>
    <w:rsid w:val="00A12509"/>
    <w:rsid w:val="00A13815"/>
    <w:rsid w:val="00A144A1"/>
    <w:rsid w:val="00A511FD"/>
    <w:rsid w:val="00A91C82"/>
    <w:rsid w:val="00AF6D50"/>
    <w:rsid w:val="00B105A1"/>
    <w:rsid w:val="00B34A21"/>
    <w:rsid w:val="00B46418"/>
    <w:rsid w:val="00B614D4"/>
    <w:rsid w:val="00B63EEC"/>
    <w:rsid w:val="00BF679A"/>
    <w:rsid w:val="00BF7DFF"/>
    <w:rsid w:val="00C049FF"/>
    <w:rsid w:val="00C47BF8"/>
    <w:rsid w:val="00C61AAE"/>
    <w:rsid w:val="00C87A6B"/>
    <w:rsid w:val="00C94F2F"/>
    <w:rsid w:val="00CA7BBA"/>
    <w:rsid w:val="00CB013E"/>
    <w:rsid w:val="00CB7413"/>
    <w:rsid w:val="00CF2D66"/>
    <w:rsid w:val="00D02A54"/>
    <w:rsid w:val="00D311C3"/>
    <w:rsid w:val="00D711CB"/>
    <w:rsid w:val="00D71317"/>
    <w:rsid w:val="00DC026E"/>
    <w:rsid w:val="00DD0F58"/>
    <w:rsid w:val="00DD1DED"/>
    <w:rsid w:val="00DE02A1"/>
    <w:rsid w:val="00DF076D"/>
    <w:rsid w:val="00E925A1"/>
    <w:rsid w:val="00EA0675"/>
    <w:rsid w:val="00F0740A"/>
    <w:rsid w:val="00F11B2D"/>
    <w:rsid w:val="00F900F4"/>
    <w:rsid w:val="00FA02BA"/>
    <w:rsid w:val="00FC0908"/>
    <w:rsid w:val="00FC5DB2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D0E130E"/>
  <w15:docId w15:val="{E0C652A0-E536-471C-8B4E-93A16352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BBA"/>
    <w:pPr>
      <w:widowControl w:val="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A7B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7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7B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7B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7B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7B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7B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7B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B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7B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7B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7BBA"/>
    <w:rPr>
      <w:rFonts w:asciiTheme="majorHAnsi" w:eastAsiaTheme="majorEastAsia" w:hAnsiTheme="majorHAnsi" w:cstheme="majorBidi"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CA7B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7B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7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7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7B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7B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7B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7B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7B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00C3"/>
    <w:pPr>
      <w:tabs>
        <w:tab w:val="center" w:pos="4252"/>
        <w:tab w:val="right" w:pos="8504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900C3"/>
  </w:style>
  <w:style w:type="paragraph" w:styleId="Fuzeile">
    <w:name w:val="footer"/>
    <w:basedOn w:val="Standard"/>
    <w:link w:val="FuzeileZchn"/>
    <w:uiPriority w:val="99"/>
    <w:unhideWhenUsed/>
    <w:rsid w:val="006900C3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6900C3"/>
  </w:style>
  <w:style w:type="character" w:styleId="Hyperlink">
    <w:name w:val="Hyperlink"/>
    <w:basedOn w:val="Absatz-Standardschriftart"/>
    <w:uiPriority w:val="99"/>
    <w:unhideWhenUsed/>
    <w:rsid w:val="00295EBC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95EB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2FB0"/>
    <w:pPr>
      <w:snapToGrid w:val="0"/>
      <w:jc w:val="left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2FB0"/>
  </w:style>
  <w:style w:type="character" w:styleId="Funotenzeichen">
    <w:name w:val="footnote reference"/>
    <w:basedOn w:val="Absatz-Standardschriftart"/>
    <w:uiPriority w:val="99"/>
    <w:semiHidden/>
    <w:unhideWhenUsed/>
    <w:rsid w:val="002D2FB0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F2D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l.com/ja/transl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FF0E-1DF5-4766-93E5-170C882D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3565</Words>
  <Characters>22460</Characters>
  <Application>Microsoft Office Word</Application>
  <DocSecurity>0</DocSecurity>
  <Lines>187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純子 平澤</dc:creator>
  <cp:lastModifiedBy>Thomas Kiefer</cp:lastModifiedBy>
  <cp:revision>2</cp:revision>
  <dcterms:created xsi:type="dcterms:W3CDTF">2026-02-18T11:34:00Z</dcterms:created>
  <dcterms:modified xsi:type="dcterms:W3CDTF">2026-02-18T11:34:00Z</dcterms:modified>
</cp:coreProperties>
</file>